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Laying techniques</w:t>
      </w:r>
    </w:p>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Recommendations in the installation of ceramic products</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Adhesion, understood as the strength of the bond between the ceramic piece and the base, plays a vital role in the quality of the tiled surface. Good adhesion should guarantee that the tile is firmly fixed to the base. The development of new low porosity ceramic materials that are resistant to abrasion and sub-zero temperatures, large formats, and their installation in industrial or large commercial areas, facades, etc., has led to a corresponding development in adhesive products.</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Increased knowledge about the use of special adhesives means that thick layer installation (mechanical adhesion) is being replaced by thin layer installation (chemical adhesion); the latter offers clear advantages, particularly in relation to quality of both adhesion and durability. The appropriate adhesive must be chosen, taking into account the surface to be tiled and the type of ceramic tile.</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It is very important to use the right tools when laying the tiles (notched trowel, white rubber mallet, spirit level and suction cup). The substrate on which the tiles are to be laid must also be free of any plaster, paint residues etc., thus enabling the adhesive to be effective over time.</w:t>
      </w:r>
    </w:p>
    <w:p w:rsidR="00737DF1" w:rsidRPr="00737DF1" w:rsidRDefault="00737DF1" w:rsidP="00737DF1">
      <w:pPr>
        <w:shd w:val="clear" w:color="auto" w:fill="FFFFFF"/>
        <w:spacing w:after="0" w:line="240" w:lineRule="auto"/>
        <w:jc w:val="right"/>
        <w:outlineLvl w:val="5"/>
        <w:rPr>
          <w:rFonts w:ascii="var(--font-h6)" w:eastAsia="Times New Roman" w:hAnsi="var(--font-h6)" w:cs="Times New Roman"/>
          <w:color w:val="1A1A1A"/>
          <w:spacing w:val="-5"/>
          <w:sz w:val="15"/>
          <w:szCs w:val="15"/>
          <w:lang w:eastAsia="bg-BG"/>
        </w:rPr>
      </w:pPr>
      <w:r w:rsidRPr="00737DF1">
        <w:rPr>
          <w:rFonts w:ascii="var(--font-h6)" w:eastAsia="Times New Roman" w:hAnsi="var(--font-h6)" w:cs="Times New Roman"/>
          <w:color w:val="1A1A1A"/>
          <w:spacing w:val="-5"/>
          <w:sz w:val="15"/>
          <w:szCs w:val="15"/>
          <w:lang w:eastAsia="bg-BG"/>
        </w:rPr>
        <w:t>The adhesive manufacturer’s instructions must be followed at all times</w:t>
      </w:r>
    </w:p>
    <w:p w:rsidR="00BA71F9" w:rsidRDefault="00BA71F9"/>
    <w:p w:rsidR="00737DF1" w:rsidRPr="00737DF1" w:rsidRDefault="00737DF1" w:rsidP="00737DF1">
      <w:pPr>
        <w:spacing w:after="0" w:line="240" w:lineRule="auto"/>
        <w:outlineLvl w:val="3"/>
        <w:rPr>
          <w:rFonts w:ascii="var(--font-h4)" w:eastAsia="Times New Roman" w:hAnsi="var(--font-h4)" w:cs="Times New Roman"/>
          <w:spacing w:val="-5"/>
          <w:sz w:val="24"/>
          <w:szCs w:val="24"/>
          <w:lang w:eastAsia="bg-BG"/>
        </w:rPr>
      </w:pPr>
      <w:r w:rsidRPr="00737DF1">
        <w:rPr>
          <w:rFonts w:ascii="var(--font-h4)" w:eastAsia="Times New Roman" w:hAnsi="var(--font-h4)" w:cs="Times New Roman"/>
          <w:spacing w:val="-5"/>
          <w:sz w:val="24"/>
          <w:szCs w:val="24"/>
          <w:lang w:eastAsia="bg-BG"/>
        </w:rPr>
        <w:t>Movement joints, whether structural, perimeter, dilation or laying joints, must always be respected for a perfect installation.</w:t>
      </w:r>
    </w:p>
    <w:p w:rsidR="00737DF1" w:rsidRPr="00737DF1" w:rsidRDefault="00737DF1" w:rsidP="00737DF1">
      <w:pPr>
        <w:spacing w:after="0" w:line="240" w:lineRule="auto"/>
        <w:outlineLvl w:val="4"/>
        <w:rPr>
          <w:rFonts w:ascii="var(--font-h5)" w:eastAsia="Times New Roman" w:hAnsi="var(--font-h5)" w:cs="Times New Roman"/>
          <w:spacing w:val="-5"/>
          <w:sz w:val="20"/>
          <w:szCs w:val="20"/>
          <w:lang w:eastAsia="bg-BG"/>
        </w:rPr>
      </w:pPr>
      <w:r w:rsidRPr="00737DF1">
        <w:rPr>
          <w:rFonts w:ascii="var(--font-h5)" w:eastAsia="Times New Roman" w:hAnsi="var(--font-h5)" w:cs="Times New Roman"/>
          <w:spacing w:val="-5"/>
          <w:sz w:val="20"/>
          <w:szCs w:val="20"/>
          <w:lang w:eastAsia="bg-BG"/>
        </w:rPr>
        <w:t>Structural joints: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These must always follow the instructions given in the project by a specialised engineer or architect.</w:t>
      </w:r>
    </w:p>
    <w:p w:rsidR="00737DF1" w:rsidRPr="00737DF1" w:rsidRDefault="00737DF1" w:rsidP="00737DF1">
      <w:pPr>
        <w:spacing w:after="0" w:line="240" w:lineRule="auto"/>
        <w:outlineLvl w:val="4"/>
        <w:rPr>
          <w:rFonts w:ascii="var(--font-h5)" w:eastAsia="Times New Roman" w:hAnsi="var(--font-h5)" w:cs="Times New Roman"/>
          <w:spacing w:val="-5"/>
          <w:sz w:val="20"/>
          <w:szCs w:val="20"/>
          <w:lang w:eastAsia="bg-BG"/>
        </w:rPr>
      </w:pPr>
      <w:r w:rsidRPr="00737DF1">
        <w:rPr>
          <w:rFonts w:ascii="var(--font-h5)" w:eastAsia="Times New Roman" w:hAnsi="var(--font-h5)" w:cs="Times New Roman"/>
          <w:spacing w:val="-5"/>
          <w:sz w:val="20"/>
          <w:szCs w:val="20"/>
          <w:lang w:eastAsia="bg-BG"/>
        </w:rPr>
        <w:t>Perimeter joints: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These must be continuous and no less than 8 mm wide. Their purpose is to insulate the ceramic floor tiles from other tiled surfaces such as walls (hidden by the skirting), columns or doors.</w:t>
      </w:r>
    </w:p>
    <w:p w:rsidR="00737DF1" w:rsidRPr="00737DF1" w:rsidRDefault="00737DF1" w:rsidP="00737DF1">
      <w:pPr>
        <w:spacing w:after="0" w:line="240" w:lineRule="auto"/>
        <w:jc w:val="right"/>
        <w:outlineLvl w:val="5"/>
        <w:rPr>
          <w:rFonts w:ascii="var(--font-h6)" w:eastAsia="Times New Roman" w:hAnsi="var(--font-h6)" w:cs="Times New Roman"/>
          <w:spacing w:val="-5"/>
          <w:sz w:val="15"/>
          <w:szCs w:val="15"/>
          <w:lang w:eastAsia="bg-BG"/>
        </w:rPr>
      </w:pPr>
      <w:r w:rsidRPr="00737DF1">
        <w:rPr>
          <w:rFonts w:ascii="var(--font-h6)" w:eastAsia="Times New Roman" w:hAnsi="var(--font-h6)" w:cs="Times New Roman"/>
          <w:spacing w:val="-5"/>
          <w:sz w:val="15"/>
          <w:szCs w:val="15"/>
          <w:lang w:eastAsia="bg-BG"/>
        </w:rPr>
        <w:t>The omission of perimeter joints is one of the most frequent causes of ceramic tile lifting.</w:t>
      </w:r>
    </w:p>
    <w:p w:rsidR="00737DF1" w:rsidRPr="00737DF1" w:rsidRDefault="00737DF1" w:rsidP="00737DF1">
      <w:pPr>
        <w:spacing w:after="0" w:line="240" w:lineRule="auto"/>
        <w:outlineLvl w:val="4"/>
        <w:rPr>
          <w:rFonts w:ascii="var(--font-h5)" w:eastAsia="Times New Roman" w:hAnsi="var(--font-h5)" w:cs="Times New Roman"/>
          <w:spacing w:val="-5"/>
          <w:sz w:val="20"/>
          <w:szCs w:val="20"/>
          <w:lang w:eastAsia="bg-BG"/>
        </w:rPr>
      </w:pPr>
      <w:r w:rsidRPr="00737DF1">
        <w:rPr>
          <w:rFonts w:ascii="var(--font-h5)" w:eastAsia="Times New Roman" w:hAnsi="var(--font-h5)" w:cs="Times New Roman"/>
          <w:spacing w:val="-5"/>
          <w:sz w:val="20"/>
          <w:szCs w:val="20"/>
          <w:lang w:eastAsia="bg-BG"/>
        </w:rPr>
        <w:t>Partition joints: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Partition or expansion joints are used to allow for deformations caused by the temperature variations between the tile, the adhesive and the substrate. Large tiled surface areas must be subdivided into smaller sections, delimited by partition joints, in order to avoid stress caused by expansion and contraction. Where floors are subject to high pedestrian traffic, hard wheels or the dragging of heavy loads, specially designed partition joints suitable for heavy loads must be used.</w:t>
      </w:r>
    </w:p>
    <w:p w:rsidR="00737DF1" w:rsidRPr="00737DF1" w:rsidRDefault="00737DF1" w:rsidP="00737DF1">
      <w:pPr>
        <w:spacing w:after="0" w:line="240" w:lineRule="auto"/>
        <w:outlineLvl w:val="4"/>
        <w:rPr>
          <w:rFonts w:ascii="var(--font-h5)" w:eastAsia="Times New Roman" w:hAnsi="var(--font-h5)" w:cs="Times New Roman"/>
          <w:spacing w:val="-5"/>
          <w:sz w:val="20"/>
          <w:szCs w:val="20"/>
          <w:lang w:eastAsia="bg-BG"/>
        </w:rPr>
      </w:pPr>
      <w:r w:rsidRPr="00737DF1">
        <w:rPr>
          <w:rFonts w:ascii="var(--font-h5)" w:eastAsia="Times New Roman" w:hAnsi="var(--font-h5)" w:cs="Times New Roman"/>
          <w:spacing w:val="-5"/>
          <w:sz w:val="20"/>
          <w:szCs w:val="20"/>
          <w:lang w:eastAsia="bg-BG"/>
        </w:rPr>
        <w:t>Installation joints: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To protect against any structural (expansion- contraction) movements, a separation joint must be fitted between all contiguous tiles.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These should be laid with a separation of no less than 2-3 mm. Installation joints offer several advantages: they help to absorb deformations caused by the substrate and ameliorate the stress generated on the bottom of the tile when the floor is subject to loads. Accumulated stress may eventually cause tiles to lift. They also have an important aesthetic function and highlight the beauty of the tile. The joints can have a smooth finish, level with the tiles, or a sunken concave finish. They are generally applied to interior and exterior tiled walls.</w:t>
      </w:r>
    </w:p>
    <w:p w:rsidR="00737DF1" w:rsidRPr="00737DF1" w:rsidRDefault="00737DF1" w:rsidP="00737DF1">
      <w:pPr>
        <w:spacing w:after="0" w:line="240" w:lineRule="auto"/>
        <w:rPr>
          <w:rFonts w:ascii="Times New Roman" w:eastAsia="Times New Roman" w:hAnsi="Times New Roman" w:cs="Times New Roman"/>
          <w:sz w:val="24"/>
          <w:szCs w:val="24"/>
          <w:lang w:eastAsia="bg-BG"/>
        </w:rPr>
      </w:pPr>
      <w:r w:rsidRPr="00737DF1">
        <w:rPr>
          <w:rFonts w:ascii="Times New Roman" w:eastAsia="Times New Roman" w:hAnsi="Times New Roman" w:cs="Times New Roman"/>
          <w:sz w:val="24"/>
          <w:szCs w:val="24"/>
          <w:lang w:eastAsia="bg-BG"/>
        </w:rPr>
        <w:t xml:space="preserve">Low porosity, deformable and water-resistant grouts are also available. Suitable for facades, floors subject to heavy and local traffic with persistent presence of water. For surfaces where the presence of acids and alkalis is commonplace, such as food or health related premises, two-component reactive resins such as epoxy grouts should be used. This type of grouting material is composed of synthetic resins (usually epoxy resin). Their main properties are: </w:t>
      </w:r>
      <w:r w:rsidRPr="00737DF1">
        <w:rPr>
          <w:rFonts w:ascii="Times New Roman" w:eastAsia="Times New Roman" w:hAnsi="Times New Roman" w:cs="Times New Roman"/>
          <w:sz w:val="24"/>
          <w:szCs w:val="24"/>
          <w:lang w:eastAsia="bg-BG"/>
        </w:rPr>
        <w:lastRenderedPageBreak/>
        <w:t>resistance to chemicals, bacterial resistance, very good resistance to damp and excellent resistance to abrasion.</w:t>
      </w:r>
    </w:p>
    <w:p w:rsidR="00737DF1" w:rsidRPr="00737DF1" w:rsidRDefault="00737DF1" w:rsidP="00737DF1">
      <w:pPr>
        <w:spacing w:after="0" w:line="240" w:lineRule="auto"/>
        <w:jc w:val="right"/>
        <w:outlineLvl w:val="5"/>
        <w:rPr>
          <w:rFonts w:ascii="var(--font-h6)" w:eastAsia="Times New Roman" w:hAnsi="var(--font-h6)" w:cs="Times New Roman"/>
          <w:spacing w:val="-5"/>
          <w:sz w:val="15"/>
          <w:szCs w:val="15"/>
          <w:lang w:eastAsia="bg-BG"/>
        </w:rPr>
      </w:pPr>
      <w:r w:rsidRPr="00737DF1">
        <w:rPr>
          <w:rFonts w:ascii="var(--font-h6)" w:eastAsia="Times New Roman" w:hAnsi="var(--font-h6)" w:cs="Times New Roman"/>
          <w:spacing w:val="-5"/>
          <w:sz w:val="15"/>
          <w:szCs w:val="15"/>
          <w:lang w:eastAsia="bg-BG"/>
        </w:rPr>
        <w:t>The adhesive manufacturer’s instructions must be followed at all times</w:t>
      </w:r>
    </w:p>
    <w:p w:rsidR="00737DF1" w:rsidRPr="00737DF1" w:rsidRDefault="00737DF1" w:rsidP="00737DF1">
      <w:pPr>
        <w:shd w:val="clear" w:color="auto" w:fill="FFFFFF"/>
        <w:spacing w:after="0" w:line="240" w:lineRule="auto"/>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The minimum separation between tiles should be no less than 2-3 mm for interiors and 3-5 mm for outside areas.</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Classification of grouts according to the EN 13888 standard</w:t>
      </w:r>
    </w:p>
    <w:p w:rsidR="00737DF1" w:rsidRPr="00737DF1" w:rsidRDefault="00737DF1" w:rsidP="00737DF1">
      <w:pPr>
        <w:shd w:val="clear" w:color="auto" w:fill="FFFFFF"/>
        <w:spacing w:after="0" w:line="240" w:lineRule="auto"/>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MODIFIED CEMENT-BASED GROUTS CG2</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Optional ArW (high abrasion resistance and low water absorption)</w:t>
      </w:r>
    </w:p>
    <w:p w:rsidR="00737DF1" w:rsidRPr="00737DF1" w:rsidRDefault="00737DF1" w:rsidP="00737DF1">
      <w:pPr>
        <w:shd w:val="clear" w:color="auto" w:fill="FFFFFF"/>
        <w:spacing w:after="0" w:line="240" w:lineRule="auto"/>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REACTIVE RESIN-BASED GROUTS RG</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Generally two-component grouts, epoxy based, resistant to chemicals, completely impermeable and highly resistant to compression.</w:t>
      </w:r>
    </w:p>
    <w:p w:rsidR="00737DF1" w:rsidRPr="00737DF1" w:rsidRDefault="00737DF1" w:rsidP="00737DF1">
      <w:pPr>
        <w:shd w:val="clear" w:color="auto" w:fill="FFFFFF"/>
        <w:spacing w:after="0" w:line="240" w:lineRule="auto"/>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The use of grouts containing micronised carbon (carbon black) should always be avoided</w:t>
      </w:r>
    </w:p>
    <w:p w:rsidR="00737DF1" w:rsidRDefault="00737DF1"/>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Griffstoff</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Two techniques are used for laying ceramic tiles: the thick layer and the thin layer methods.</w:t>
      </w:r>
    </w:p>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It is very important to remember that the installation of porcelain stoneware requires the substrate to be completely level and free of any substances that may interfere with efficient adhesion. The thin layer technique must always be employed, using a notched trowel, a white rubber mallet, a spirit level and a suction cup. For outside applications and formats larger than 900 cm2, the double bonding technique should be used, i.e., the adhesive is applied to both the substrate and the back of the tile.</w:t>
      </w:r>
    </w:p>
    <w:p w:rsidR="00737DF1" w:rsidRPr="00737DF1" w:rsidRDefault="00737DF1" w:rsidP="00737DF1">
      <w:pPr>
        <w:shd w:val="clear" w:color="auto" w:fill="FFFFFF"/>
        <w:spacing w:after="0" w:line="240" w:lineRule="auto"/>
        <w:jc w:val="right"/>
        <w:outlineLvl w:val="5"/>
        <w:rPr>
          <w:rFonts w:ascii="var(--font-h6)" w:eastAsia="Times New Roman" w:hAnsi="var(--font-h6)" w:cs="Times New Roman"/>
          <w:color w:val="1A1A1A"/>
          <w:spacing w:val="-5"/>
          <w:sz w:val="15"/>
          <w:szCs w:val="15"/>
          <w:lang w:eastAsia="bg-BG"/>
        </w:rPr>
      </w:pPr>
      <w:r w:rsidRPr="00737DF1">
        <w:rPr>
          <w:rFonts w:ascii="var(--font-h6)" w:eastAsia="Times New Roman" w:hAnsi="var(--font-h6)" w:cs="Times New Roman"/>
          <w:color w:val="1A1A1A"/>
          <w:spacing w:val="-5"/>
          <w:sz w:val="15"/>
          <w:szCs w:val="15"/>
          <w:lang w:eastAsia="bg-BG"/>
        </w:rPr>
        <w:t>The adhesive manufacturer’s instructions must be followed at all times</w:t>
      </w:r>
    </w:p>
    <w:p w:rsidR="00737DF1" w:rsidRPr="00737DF1" w:rsidRDefault="00737DF1" w:rsidP="00737DF1">
      <w:pPr>
        <w:shd w:val="clear" w:color="auto" w:fill="FFFFFF"/>
        <w:spacing w:after="0" w:line="240" w:lineRule="auto"/>
        <w:jc w:val="center"/>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The thick layer method.</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This is the traditional technique for laying tiles, whereby the tile is laid directly onto the substrate (partition wall, brick, reinforced concrete). This is a cheaper me thod and also enables defects in levels to be corrected. The adhesive material used with this method is traditional mortar.</w:t>
      </w:r>
    </w:p>
    <w:p w:rsidR="00737DF1" w:rsidRPr="00737DF1" w:rsidRDefault="00737DF1" w:rsidP="00737DF1">
      <w:pPr>
        <w:shd w:val="clear" w:color="auto" w:fill="FFFFFF"/>
        <w:spacing w:after="0" w:line="240" w:lineRule="auto"/>
        <w:jc w:val="center"/>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The thin layer method, (with adhesives).</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This is a more recent technique, adapted for use with modern ceramic materials and a wide range of substrates. The tiles are usually laid on a previously prepared base, whether plastered walls or a cement floor base.</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This technique has clear advantages: it is suitable for any type of ceramic tile and is compatible with all substrates. Appropriate adhesives are available for all types of base and ceramic tiles and they offer ample rectification time. They absorb any deformation in the substrate and their adhesive performance is higher. The adhesive materials used with this method are cement-based adhesives, adhesive pastes and reaction resin adhesives. The following types of cement glues may be considered, depending on the properties of the ceramic tile to be laid.</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Adhesives are classified according to the EN 12004 and 12002 standards for ceramic tile adhesive and deformability</w:t>
      </w:r>
    </w:p>
    <w:p w:rsidR="00737DF1" w:rsidRDefault="00737DF1"/>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Leveling Systems</w:t>
      </w:r>
    </w:p>
    <w:p w:rsidR="00737DF1" w:rsidRPr="00737DF1" w:rsidRDefault="00737DF1" w:rsidP="00737DF1">
      <w:pPr>
        <w:shd w:val="clear" w:color="auto" w:fill="FFFFFF"/>
        <w:spacing w:after="0" w:line="240" w:lineRule="auto"/>
        <w:jc w:val="center"/>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GLAZED BREAKAGE IN RECTIFIED TILES</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When we talk about coatings and installation systems, we must take into account the following considerations:</w:t>
      </w:r>
      <w:r w:rsidRPr="00737DF1">
        <w:rPr>
          <w:rFonts w:ascii="Helvetica Neue LT Com Light" w:eastAsia="Times New Roman" w:hAnsi="Helvetica Neue LT Com Light" w:cs="Times New Roman"/>
          <w:color w:val="1A1A1A"/>
          <w:sz w:val="24"/>
          <w:szCs w:val="24"/>
          <w:lang w:eastAsia="bg-BG"/>
        </w:rPr>
        <w:br/>
        <w:t>Materials Absorption group BIII, absorption greater than 10%.</w:t>
      </w:r>
      <w:r w:rsidRPr="00737DF1">
        <w:rPr>
          <w:rFonts w:ascii="Helvetica Neue LT Com Light" w:eastAsia="Times New Roman" w:hAnsi="Helvetica Neue LT Com Light" w:cs="Times New Roman"/>
          <w:color w:val="1A1A1A"/>
          <w:sz w:val="24"/>
          <w:szCs w:val="24"/>
          <w:lang w:eastAsia="bg-BG"/>
        </w:rPr>
        <w:br/>
        <w:t>More fragile.</w:t>
      </w:r>
      <w:r w:rsidRPr="00737DF1">
        <w:rPr>
          <w:rFonts w:ascii="Helvetica Neue LT Com Light" w:eastAsia="Times New Roman" w:hAnsi="Helvetica Neue LT Com Light" w:cs="Times New Roman"/>
          <w:color w:val="1A1A1A"/>
          <w:sz w:val="24"/>
          <w:szCs w:val="24"/>
          <w:lang w:eastAsia="bg-BG"/>
        </w:rPr>
        <w:br/>
        <w:t>Rectified, they have a micro bevel or minimum bevel</w:t>
      </w:r>
      <w:r w:rsidRPr="00737DF1">
        <w:rPr>
          <w:rFonts w:ascii="Helvetica Neue LT Com Light" w:eastAsia="Times New Roman" w:hAnsi="Helvetica Neue LT Com Light" w:cs="Times New Roman"/>
          <w:color w:val="1A1A1A"/>
          <w:sz w:val="24"/>
          <w:szCs w:val="24"/>
          <w:lang w:eastAsia="bg-BG"/>
        </w:rPr>
        <w:br/>
        <w:t>The problem is that the edge of these pieces is very delicate and any small pressure can cause the edge to chip.</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Traditional system</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lastRenderedPageBreak/>
        <w:t>In these systems, the wedges are in contact with the ceramic, and by exerting pressure, spalling can occur. This is due to the fact that at the moment of tightening the wedge, we generate a pressure causing the divider to be less than 90◦ tilting the divider and exerting pressure on the bevel.</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Example of inclined divider exerting pressure on the bevel, leveling system parts, and example of traditional placement.</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What solution have the manufacturers of leveling systems found to solve this problem that the entire sector presents?</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Leveling system manufacturers have designed modifications for these types of products.</w:t>
      </w:r>
    </w:p>
    <w:p w:rsidR="00737DF1" w:rsidRPr="00737DF1" w:rsidRDefault="00737DF1" w:rsidP="00737DF1">
      <w:pPr>
        <w:shd w:val="clear" w:color="auto" w:fill="FFFFFF"/>
        <w:spacing w:after="0" w:line="240" w:lineRule="auto"/>
        <w:outlineLvl w:val="3"/>
        <w:rPr>
          <w:rFonts w:ascii="var(--font-h4)" w:eastAsia="Times New Roman" w:hAnsi="var(--font-h4)" w:cs="Times New Roman"/>
          <w:color w:val="1A1A1A"/>
          <w:spacing w:val="-5"/>
          <w:sz w:val="24"/>
          <w:szCs w:val="24"/>
          <w:lang w:eastAsia="bg-BG"/>
        </w:rPr>
      </w:pPr>
      <w:r w:rsidRPr="00737DF1">
        <w:rPr>
          <w:rFonts w:ascii="var(--font-h4)" w:eastAsia="Times New Roman" w:hAnsi="var(--font-h4)" w:cs="Times New Roman"/>
          <w:color w:val="1A1A1A"/>
          <w:spacing w:val="-5"/>
          <w:sz w:val="24"/>
          <w:szCs w:val="24"/>
          <w:lang w:eastAsia="bg-BG"/>
        </w:rPr>
        <w:t>Protector leveling systems</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The protector is placed under the wedge to achieve a perfect finish of the flooring or tiling, eliminating friction in the force between the wedge, the divider and the ceramic.</w:t>
      </w:r>
    </w:p>
    <w:p w:rsidR="00737DF1" w:rsidRPr="00737DF1" w:rsidRDefault="00737DF1" w:rsidP="00737DF1">
      <w:pPr>
        <w:shd w:val="clear" w:color="auto" w:fill="FFFFFF"/>
        <w:spacing w:after="0" w:line="240" w:lineRule="auto"/>
        <w:rPr>
          <w:rFonts w:ascii="Helvetica Neue LT Com Light" w:eastAsia="Times New Roman" w:hAnsi="Helvetica Neue LT Com Light" w:cs="Times New Roman"/>
          <w:color w:val="1A1A1A"/>
          <w:sz w:val="24"/>
          <w:szCs w:val="24"/>
          <w:lang w:eastAsia="bg-BG"/>
        </w:rPr>
      </w:pPr>
      <w:r w:rsidRPr="00737DF1">
        <w:rPr>
          <w:rFonts w:ascii="Helvetica Neue LT Com Light" w:eastAsia="Times New Roman" w:hAnsi="Helvetica Neue LT Com Light" w:cs="Times New Roman"/>
          <w:color w:val="1A1A1A"/>
          <w:sz w:val="24"/>
          <w:szCs w:val="24"/>
          <w:lang w:eastAsia="bg-BG"/>
        </w:rPr>
        <w:t>Specially designed to protect tiles, especially in the case of delicate and thin ceramics.</w:t>
      </w:r>
    </w:p>
    <w:p w:rsidR="00737DF1" w:rsidRPr="00737DF1" w:rsidRDefault="00737DF1" w:rsidP="00737DF1">
      <w:pPr>
        <w:shd w:val="clear" w:color="auto" w:fill="FFFFFF"/>
        <w:spacing w:after="0" w:line="240" w:lineRule="auto"/>
        <w:outlineLvl w:val="4"/>
        <w:rPr>
          <w:rFonts w:ascii="var(--font-h5)" w:eastAsia="Times New Roman" w:hAnsi="var(--font-h5)" w:cs="Times New Roman"/>
          <w:color w:val="1A1A1A"/>
          <w:spacing w:val="-5"/>
          <w:sz w:val="20"/>
          <w:szCs w:val="20"/>
          <w:lang w:eastAsia="bg-BG"/>
        </w:rPr>
      </w:pPr>
      <w:r w:rsidRPr="00737DF1">
        <w:rPr>
          <w:rFonts w:ascii="var(--font-h5)" w:eastAsia="Times New Roman" w:hAnsi="var(--font-h5)" w:cs="Times New Roman"/>
          <w:color w:val="1A1A1A"/>
          <w:spacing w:val="-5"/>
          <w:sz w:val="20"/>
          <w:szCs w:val="20"/>
          <w:lang w:eastAsia="bg-BG"/>
        </w:rPr>
        <w:t>USE OF THE PROTECTOR</w:t>
      </w: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Pr="00737DF1" w:rsidRDefault="00737DF1" w:rsidP="00737DF1">
      <w:pPr>
        <w:shd w:val="clear" w:color="auto" w:fill="FFFFFF"/>
        <w:spacing w:after="0" w:line="240" w:lineRule="auto"/>
        <w:jc w:val="center"/>
        <w:rPr>
          <w:rFonts w:ascii="Helvetica Neue LT Com Light" w:eastAsia="Times New Roman" w:hAnsi="Helvetica Neue LT Com Light" w:cs="Times New Roman"/>
          <w:color w:val="1A1A1A"/>
          <w:sz w:val="24"/>
          <w:szCs w:val="24"/>
          <w:lang w:eastAsia="bg-BG"/>
        </w:rPr>
      </w:pPr>
    </w:p>
    <w:p w:rsidR="00737DF1" w:rsidRDefault="00737DF1">
      <w:bookmarkStart w:id="0" w:name="_GoBack"/>
      <w:bookmarkEnd w:id="0"/>
    </w:p>
    <w:p w:rsidR="00910A90" w:rsidRPr="00F618EC" w:rsidRDefault="00910A90" w:rsidP="00910A90">
      <w:pPr>
        <w:rPr>
          <w:b/>
        </w:rPr>
      </w:pPr>
      <w:r w:rsidRPr="00F618EC">
        <w:rPr>
          <w:b/>
        </w:rPr>
        <w:t>Техники на полагане</w:t>
      </w:r>
    </w:p>
    <w:p w:rsidR="00910A90" w:rsidRPr="00F618EC" w:rsidRDefault="00910A90" w:rsidP="00910A90">
      <w:pPr>
        <w:rPr>
          <w:b/>
        </w:rPr>
      </w:pPr>
      <w:r w:rsidRPr="00F618EC">
        <w:rPr>
          <w:b/>
        </w:rPr>
        <w:t>Препоръки при монтаж на керамични изделия</w:t>
      </w:r>
    </w:p>
    <w:p w:rsidR="00910A90" w:rsidRDefault="00F618EC" w:rsidP="00910A90">
      <w:r>
        <w:t>Лепилото</w:t>
      </w:r>
      <w:r w:rsidR="00910A90">
        <w:t xml:space="preserve">, </w:t>
      </w:r>
      <w:r>
        <w:t xml:space="preserve">което е </w:t>
      </w:r>
      <w:r w:rsidR="00910A90">
        <w:t xml:space="preserve">силата на връзката между керамичния детайл и основата, играе жизненоважна роля за качеството на </w:t>
      </w:r>
      <w:r>
        <w:t>облицованата повърхност. Доброто</w:t>
      </w:r>
      <w:r w:rsidR="00910A90">
        <w:t xml:space="preserve"> </w:t>
      </w:r>
      <w:r>
        <w:t xml:space="preserve">лепило </w:t>
      </w:r>
      <w:r w:rsidR="00910A90">
        <w:t>трябва да гарантира, че плочката е здраво фиксирана към основата. Разработването на нови керамични материали с ниска порьозност, които са устойчиви на абразия и минусови температури, големи формати и тяхното инсталиране в промишлени или големи търговски площи, фасади и др., доведе до съответното развитие на лепилните продукти.</w:t>
      </w:r>
    </w:p>
    <w:p w:rsidR="00910A90" w:rsidRDefault="00910A90" w:rsidP="00910A90">
      <w:r>
        <w:t xml:space="preserve">Повишените познания за използването на специални лепила означават, че монтажът на дебел слой (механично залепване) се заменя с монтаж на тънък слой (химическо залепване); последното предлага ясни предимства, особено по отношение на качеството както на </w:t>
      </w:r>
      <w:r w:rsidR="00F618EC">
        <w:t>залепянето</w:t>
      </w:r>
      <w:r>
        <w:t xml:space="preserve">, така и на издръжливостта. </w:t>
      </w:r>
      <w:r w:rsidR="00F618EC">
        <w:t>Т</w:t>
      </w:r>
      <w:r>
        <w:t xml:space="preserve">рябва да </w:t>
      </w:r>
      <w:r w:rsidR="00F618EC">
        <w:t>се избере п</w:t>
      </w:r>
      <w:r w:rsidR="00F618EC">
        <w:t>одходящото лепило</w:t>
      </w:r>
      <w:r>
        <w:t>, като се вземе предвид повърхността, която ще се облицова и вида на керамичните плочки.</w:t>
      </w:r>
    </w:p>
    <w:p w:rsidR="00910A90" w:rsidRDefault="00910A90" w:rsidP="00910A90">
      <w:r>
        <w:t>Много е важно да използвате правилните инструменти, когато полагате плочките (назъбена мистрия, бял гумен чук, нивелир и вендуза). Основата, върху която ще се полагат плочките, също трябва да бъде почистена от мазилка, остатъци от боя и др., което позволява на лепилото да бъде ефективно във времето.</w:t>
      </w:r>
    </w:p>
    <w:p w:rsidR="00910A90" w:rsidRDefault="00910A90" w:rsidP="00910A90">
      <w:r>
        <w:t>Инструкциите на производителя на лепилото трябва да се спазват през цялото време</w:t>
      </w:r>
    </w:p>
    <w:p w:rsidR="00910A90" w:rsidRDefault="00910A90" w:rsidP="00910A90">
      <w:proofErr w:type="spellStart"/>
      <w:r>
        <w:t>Деформационните</w:t>
      </w:r>
      <w:proofErr w:type="spellEnd"/>
      <w:r>
        <w:t xml:space="preserve"> фуги, независимо дали са конструктивни, периметърни, дилатационни или полагащи фуги, трябва винаги да се спазват за перфектен монтаж.</w:t>
      </w:r>
    </w:p>
    <w:p w:rsidR="00910A90" w:rsidRPr="000A0C15" w:rsidRDefault="00910A90" w:rsidP="00910A90">
      <w:pPr>
        <w:rPr>
          <w:b/>
        </w:rPr>
      </w:pPr>
      <w:r w:rsidRPr="000A0C15">
        <w:rPr>
          <w:b/>
        </w:rPr>
        <w:t>Конструктивни съединения:</w:t>
      </w:r>
    </w:p>
    <w:p w:rsidR="00910A90" w:rsidRDefault="00910A90" w:rsidP="00910A90">
      <w:r>
        <w:t>Те винаги трябва да следват инструкциите, дадени в проекта от специализиран инженер или архитект.</w:t>
      </w:r>
    </w:p>
    <w:p w:rsidR="00910A90" w:rsidRPr="00F618EC" w:rsidRDefault="00910A90" w:rsidP="00910A90">
      <w:pPr>
        <w:rPr>
          <w:b/>
        </w:rPr>
      </w:pPr>
      <w:r w:rsidRPr="00F618EC">
        <w:rPr>
          <w:b/>
        </w:rPr>
        <w:lastRenderedPageBreak/>
        <w:t>Периметрови фуги:</w:t>
      </w:r>
    </w:p>
    <w:p w:rsidR="00910A90" w:rsidRDefault="00910A90" w:rsidP="00910A90">
      <w:r>
        <w:t>Те трябва да са непрекъснати и с ширина не по-малко от 8 mm. Предназначението им е да изолират подовите керамични плочки от други облицовани повърхности като стени (скрити от первази), колони или врати.</w:t>
      </w:r>
    </w:p>
    <w:p w:rsidR="00910A90" w:rsidRDefault="00910A90" w:rsidP="00910A90">
      <w:r>
        <w:t>Липсата на периметрови фуги е една от най-честите причини за повдигане на керамичните плочки.</w:t>
      </w:r>
    </w:p>
    <w:p w:rsidR="00910A90" w:rsidRPr="00F618EC" w:rsidRDefault="00910A90" w:rsidP="00910A90">
      <w:pPr>
        <w:rPr>
          <w:b/>
        </w:rPr>
      </w:pPr>
      <w:r w:rsidRPr="00F618EC">
        <w:rPr>
          <w:b/>
        </w:rPr>
        <w:t>Преградни фуги:</w:t>
      </w:r>
    </w:p>
    <w:p w:rsidR="00910A90" w:rsidRDefault="00910A90" w:rsidP="00910A90">
      <w:r>
        <w:t>Преградните или дилатационните фуги се използват, за да позволят деформации, причинени от температурните промени между плочката, лепилото и основата. Големите повърхности, облицовани с плочки, трябва да бъдат разделени на по-малки секции, ограничени от преградни фуги, за да се избегне напрежението, причинено от разширяване и свиване. Когато подовете са обект на висок трафик на пешеходци, твърди колела или влачене на тежки товари, трябва да се използват специално проектирани преградни фуги, подходящи за големи натоварвания.</w:t>
      </w:r>
    </w:p>
    <w:p w:rsidR="00910A90" w:rsidRPr="00F618EC" w:rsidRDefault="00910A90" w:rsidP="00910A90">
      <w:pPr>
        <w:rPr>
          <w:b/>
        </w:rPr>
      </w:pPr>
      <w:r w:rsidRPr="00F618EC">
        <w:rPr>
          <w:b/>
        </w:rPr>
        <w:t>Монтажни фуги:</w:t>
      </w:r>
    </w:p>
    <w:p w:rsidR="00910A90" w:rsidRDefault="00910A90" w:rsidP="00910A90">
      <w:r>
        <w:t>За да се предпази от каквито и да било структурни (разширяване-свиване) движения, трябва да се постави разделителна фуга между всички съседни плочки.</w:t>
      </w:r>
    </w:p>
    <w:p w:rsidR="00910A90" w:rsidRDefault="00910A90" w:rsidP="00910A90">
      <w:r>
        <w:t xml:space="preserve">Те трябва да се полагат </w:t>
      </w:r>
      <w:r w:rsidR="00F618EC">
        <w:t xml:space="preserve">с дебелина </w:t>
      </w:r>
      <w:r>
        <w:t>не по-малко от 2-3 mm. Монтажните фуги предлагат няколко предимства: те помагат за поемане на деформации, причинени от основата, и облекчават напрежението, генерирано в долната част на плочката, когато подът е подложен на натоварване. Натрупаното напрежение в крайна сметка може да доведе до повдигане на плочките. Те имат и важна естетическа функция и подчертават красотата на плочката. Фугите могат да имат гладко покритие, на нивото на плочките или хлътнало вдлъбнато покритие. Обикновено се прилагат за вътрешни и външни стени с плочки.</w:t>
      </w:r>
    </w:p>
    <w:p w:rsidR="00910A90" w:rsidRDefault="00910A90" w:rsidP="00910A90">
      <w:r>
        <w:t>Предлагат се и нископорьозни, деформируеми и водоустойчиви фугиращи смеси. Подходящ</w:t>
      </w:r>
      <w:r w:rsidR="00F618EC">
        <w:t>и</w:t>
      </w:r>
      <w:r>
        <w:t xml:space="preserve"> </w:t>
      </w:r>
      <w:r w:rsidR="00F618EC">
        <w:t xml:space="preserve">са </w:t>
      </w:r>
      <w:r>
        <w:t xml:space="preserve">за фасади, подове, подложени на интензивен и локален трафик с постоянно наличие на вода. За повърхности, където присъствието на киселини и основи е обичайно, като помещения, свързани със </w:t>
      </w:r>
      <w:r w:rsidR="00F618EC">
        <w:t>хранителна или здравна дейност</w:t>
      </w:r>
      <w:r>
        <w:t>, трябва да се използват двукомпонентни реактивни смоли като епоксидни фугиращи смеси. Този тип фугиращ материал се състои от синтетични смоли (обикновено епоксидна смола). Основните им свойства са: устойчивост на химикали, устойчивост на бактерии, много добра устойчивост на влага и отлична устойчивост на абразия.</w:t>
      </w:r>
    </w:p>
    <w:p w:rsidR="00910A90" w:rsidRDefault="00910A90" w:rsidP="00910A90">
      <w:r>
        <w:t>Инструкциите на производителя на лепилото трябва да се спазват през цялото време</w:t>
      </w:r>
    </w:p>
    <w:p w:rsidR="00910A90" w:rsidRDefault="00910A90" w:rsidP="00910A90">
      <w:r>
        <w:t>Минималното разстояние между плочките трябва да бъде не по-малко от 2-3 мм за вътрешни и 3-5 мм за външни площи.</w:t>
      </w:r>
    </w:p>
    <w:p w:rsidR="00910A90" w:rsidRPr="00F618EC" w:rsidRDefault="00910A90" w:rsidP="00910A90">
      <w:pPr>
        <w:rPr>
          <w:b/>
        </w:rPr>
      </w:pPr>
      <w:r w:rsidRPr="00F618EC">
        <w:rPr>
          <w:b/>
        </w:rPr>
        <w:t>Класификация на фугиращите смеси съгласно стандарт EN 13888</w:t>
      </w:r>
    </w:p>
    <w:p w:rsidR="00910A90" w:rsidRDefault="00910A90" w:rsidP="00910A90">
      <w:r>
        <w:t>МОДИФИЦИРАНИ ФУГИРАЩИ СМЕСИ НА ЦИМЕНТОВА ОСНОВА CG2</w:t>
      </w:r>
    </w:p>
    <w:p w:rsidR="00910A90" w:rsidRDefault="00910A90" w:rsidP="00910A90">
      <w:r>
        <w:t>Допълнителен ArW (висока устойчивост на абразия и ниска водопоглъщаемост)</w:t>
      </w:r>
    </w:p>
    <w:p w:rsidR="00910A90" w:rsidRDefault="00910A90" w:rsidP="00910A90">
      <w:r>
        <w:t>РЕАКТИВНИ ФУГИРАЩИ СМЕСИ НА БАЗА НА СМОЛА RG</w:t>
      </w:r>
    </w:p>
    <w:p w:rsidR="00910A90" w:rsidRDefault="00910A90" w:rsidP="00910A90">
      <w:r>
        <w:lastRenderedPageBreak/>
        <w:t>Обикновено двукомпонентни фугиращи смеси на епоксидна основа, устойчиви на химикали, напълно непропускливи и силно устойчиви на компресия.</w:t>
      </w:r>
    </w:p>
    <w:p w:rsidR="00910A90" w:rsidRDefault="00910A90" w:rsidP="00910A90">
      <w:r>
        <w:t>Винаги трябва да се избягва използването на фугиращи смеси, съдържащи микронизиран въглерод (сажди).</w:t>
      </w:r>
    </w:p>
    <w:p w:rsidR="00910A90" w:rsidRPr="000A0C15" w:rsidRDefault="00910A90" w:rsidP="00910A90">
      <w:pPr>
        <w:rPr>
          <w:b/>
        </w:rPr>
      </w:pPr>
      <w:proofErr w:type="spellStart"/>
      <w:r w:rsidRPr="000A0C15">
        <w:rPr>
          <w:b/>
        </w:rPr>
        <w:t>Грифстоф</w:t>
      </w:r>
      <w:proofErr w:type="spellEnd"/>
    </w:p>
    <w:p w:rsidR="00910A90" w:rsidRDefault="00910A90" w:rsidP="00910A90">
      <w:r>
        <w:t>Използват се две техники за полагане на керамични плочки: дебелослоен и тънкослоен метод.</w:t>
      </w:r>
    </w:p>
    <w:p w:rsidR="00910A90" w:rsidRDefault="00910A90" w:rsidP="00910A90">
      <w:r>
        <w:t>Много е важно да запомните, че монтажът на гранитогрес изисква основата да бъде напълно равна и без никакви вещества, коит</w:t>
      </w:r>
      <w:r w:rsidR="00F618EC">
        <w:t>о могат да попречат на ефективното</w:t>
      </w:r>
      <w:r>
        <w:t xml:space="preserve"> </w:t>
      </w:r>
      <w:r w:rsidR="00F618EC">
        <w:t>залепяне</w:t>
      </w:r>
      <w:r>
        <w:t>. Винаги трябва да се използва техниката на тънък слой, като се използва назъбена маламашка, бял гумен чук, нивелир и вендуза. За външни приложения и формати, по-големи от 900 cm2, трябва да се използва техниката на двойно залепване, т.е. лепилото се нанася както върху основата, така и върху гърба на плочката.</w:t>
      </w:r>
    </w:p>
    <w:p w:rsidR="00910A90" w:rsidRDefault="00910A90" w:rsidP="00910A90">
      <w:r>
        <w:t>Инструкциите на производителя на лепилото трябва да се спазват през цялото време</w:t>
      </w:r>
    </w:p>
    <w:sectPr w:rsidR="00910A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ar(--font-h4)">
    <w:altName w:val="Times New Roman"/>
    <w:panose1 w:val="00000000000000000000"/>
    <w:charset w:val="00"/>
    <w:family w:val="roman"/>
    <w:notTrueType/>
    <w:pitch w:val="default"/>
  </w:font>
  <w:font w:name="Helvetica Neue LT Com Light">
    <w:altName w:val="Times New Roman"/>
    <w:panose1 w:val="00000000000000000000"/>
    <w:charset w:val="00"/>
    <w:family w:val="roman"/>
    <w:notTrueType/>
    <w:pitch w:val="default"/>
  </w:font>
  <w:font w:name="var(--font-h6)">
    <w:altName w:val="Times New Roman"/>
    <w:panose1 w:val="00000000000000000000"/>
    <w:charset w:val="00"/>
    <w:family w:val="roman"/>
    <w:notTrueType/>
    <w:pitch w:val="default"/>
  </w:font>
  <w:font w:name="var(--font-h5)">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DF1"/>
    <w:rsid w:val="000A0C15"/>
    <w:rsid w:val="006E1DE2"/>
    <w:rsid w:val="00737DF1"/>
    <w:rsid w:val="00910A90"/>
    <w:rsid w:val="00BA71F9"/>
    <w:rsid w:val="00F618E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22159">
      <w:bodyDiv w:val="1"/>
      <w:marLeft w:val="0"/>
      <w:marRight w:val="0"/>
      <w:marTop w:val="0"/>
      <w:marBottom w:val="0"/>
      <w:divBdr>
        <w:top w:val="none" w:sz="0" w:space="0" w:color="auto"/>
        <w:left w:val="none" w:sz="0" w:space="0" w:color="auto"/>
        <w:bottom w:val="none" w:sz="0" w:space="0" w:color="auto"/>
        <w:right w:val="none" w:sz="0" w:space="0" w:color="auto"/>
      </w:divBdr>
      <w:divsChild>
        <w:div w:id="1178885899">
          <w:marLeft w:val="0"/>
          <w:marRight w:val="0"/>
          <w:marTop w:val="0"/>
          <w:marBottom w:val="0"/>
          <w:divBdr>
            <w:top w:val="none" w:sz="0" w:space="0" w:color="auto"/>
            <w:left w:val="none" w:sz="0" w:space="0" w:color="auto"/>
            <w:bottom w:val="none" w:sz="0" w:space="0" w:color="auto"/>
            <w:right w:val="none" w:sz="0" w:space="0" w:color="auto"/>
          </w:divBdr>
          <w:divsChild>
            <w:div w:id="217713326">
              <w:marLeft w:val="0"/>
              <w:marRight w:val="0"/>
              <w:marTop w:val="0"/>
              <w:marBottom w:val="0"/>
              <w:divBdr>
                <w:top w:val="none" w:sz="0" w:space="0" w:color="auto"/>
                <w:left w:val="none" w:sz="0" w:space="0" w:color="auto"/>
                <w:bottom w:val="none" w:sz="0" w:space="0" w:color="auto"/>
                <w:right w:val="none" w:sz="0" w:space="0" w:color="auto"/>
              </w:divBdr>
            </w:div>
          </w:divsChild>
        </w:div>
        <w:div w:id="1541674040">
          <w:marLeft w:val="0"/>
          <w:marRight w:val="0"/>
          <w:marTop w:val="0"/>
          <w:marBottom w:val="0"/>
          <w:divBdr>
            <w:top w:val="none" w:sz="0" w:space="0" w:color="auto"/>
            <w:left w:val="none" w:sz="0" w:space="0" w:color="auto"/>
            <w:bottom w:val="none" w:sz="0" w:space="0" w:color="auto"/>
            <w:right w:val="none" w:sz="0" w:space="0" w:color="auto"/>
          </w:divBdr>
          <w:divsChild>
            <w:div w:id="1382091639">
              <w:marLeft w:val="0"/>
              <w:marRight w:val="0"/>
              <w:marTop w:val="0"/>
              <w:marBottom w:val="0"/>
              <w:divBdr>
                <w:top w:val="none" w:sz="0" w:space="0" w:color="auto"/>
                <w:left w:val="none" w:sz="0" w:space="0" w:color="auto"/>
                <w:bottom w:val="none" w:sz="0" w:space="0" w:color="auto"/>
                <w:right w:val="none" w:sz="0" w:space="0" w:color="auto"/>
              </w:divBdr>
              <w:divsChild>
                <w:div w:id="1812551858">
                  <w:marLeft w:val="0"/>
                  <w:marRight w:val="0"/>
                  <w:marTop w:val="0"/>
                  <w:marBottom w:val="0"/>
                  <w:divBdr>
                    <w:top w:val="none" w:sz="0" w:space="0" w:color="auto"/>
                    <w:left w:val="none" w:sz="0" w:space="0" w:color="auto"/>
                    <w:bottom w:val="none" w:sz="0" w:space="0" w:color="auto"/>
                    <w:right w:val="none" w:sz="0" w:space="0" w:color="auto"/>
                  </w:divBdr>
                  <w:divsChild>
                    <w:div w:id="1881359216">
                      <w:marLeft w:val="0"/>
                      <w:marRight w:val="0"/>
                      <w:marTop w:val="0"/>
                      <w:marBottom w:val="0"/>
                      <w:divBdr>
                        <w:top w:val="none" w:sz="0" w:space="0" w:color="auto"/>
                        <w:left w:val="none" w:sz="0" w:space="0" w:color="auto"/>
                        <w:bottom w:val="none" w:sz="0" w:space="0" w:color="auto"/>
                        <w:right w:val="none" w:sz="0" w:space="0" w:color="auto"/>
                      </w:divBdr>
                      <w:divsChild>
                        <w:div w:id="1146242039">
                          <w:marLeft w:val="0"/>
                          <w:marRight w:val="0"/>
                          <w:marTop w:val="0"/>
                          <w:marBottom w:val="0"/>
                          <w:divBdr>
                            <w:top w:val="none" w:sz="0" w:space="0" w:color="auto"/>
                            <w:left w:val="none" w:sz="0" w:space="0" w:color="auto"/>
                            <w:bottom w:val="none" w:sz="0" w:space="0" w:color="auto"/>
                            <w:right w:val="none" w:sz="0" w:space="0" w:color="auto"/>
                          </w:divBdr>
                        </w:div>
                      </w:divsChild>
                    </w:div>
                    <w:div w:id="1963530354">
                      <w:marLeft w:val="0"/>
                      <w:marRight w:val="0"/>
                      <w:marTop w:val="0"/>
                      <w:marBottom w:val="0"/>
                      <w:divBdr>
                        <w:top w:val="none" w:sz="0" w:space="0" w:color="auto"/>
                        <w:left w:val="none" w:sz="0" w:space="0" w:color="auto"/>
                        <w:bottom w:val="none" w:sz="0" w:space="0" w:color="auto"/>
                        <w:right w:val="none" w:sz="0" w:space="0" w:color="auto"/>
                      </w:divBdr>
                      <w:divsChild>
                        <w:div w:id="8769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156652">
          <w:marLeft w:val="0"/>
          <w:marRight w:val="0"/>
          <w:marTop w:val="0"/>
          <w:marBottom w:val="0"/>
          <w:divBdr>
            <w:top w:val="none" w:sz="0" w:space="0" w:color="auto"/>
            <w:left w:val="none" w:sz="0" w:space="0" w:color="auto"/>
            <w:bottom w:val="none" w:sz="0" w:space="0" w:color="auto"/>
            <w:right w:val="none" w:sz="0" w:space="0" w:color="auto"/>
          </w:divBdr>
          <w:divsChild>
            <w:div w:id="1279028040">
              <w:marLeft w:val="0"/>
              <w:marRight w:val="0"/>
              <w:marTop w:val="0"/>
              <w:marBottom w:val="0"/>
              <w:divBdr>
                <w:top w:val="none" w:sz="0" w:space="0" w:color="auto"/>
                <w:left w:val="none" w:sz="0" w:space="0" w:color="auto"/>
                <w:bottom w:val="none" w:sz="0" w:space="0" w:color="auto"/>
                <w:right w:val="none" w:sz="0" w:space="0" w:color="auto"/>
              </w:divBdr>
              <w:divsChild>
                <w:div w:id="1531991655">
                  <w:marLeft w:val="0"/>
                  <w:marRight w:val="0"/>
                  <w:marTop w:val="0"/>
                  <w:marBottom w:val="0"/>
                  <w:divBdr>
                    <w:top w:val="none" w:sz="0" w:space="0" w:color="auto"/>
                    <w:left w:val="none" w:sz="0" w:space="0" w:color="auto"/>
                    <w:bottom w:val="none" w:sz="0" w:space="0" w:color="auto"/>
                    <w:right w:val="none" w:sz="0" w:space="0" w:color="auto"/>
                  </w:divBdr>
                  <w:divsChild>
                    <w:div w:id="71489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373679">
          <w:marLeft w:val="0"/>
          <w:marRight w:val="0"/>
          <w:marTop w:val="0"/>
          <w:marBottom w:val="0"/>
          <w:divBdr>
            <w:top w:val="none" w:sz="0" w:space="0" w:color="auto"/>
            <w:left w:val="none" w:sz="0" w:space="0" w:color="auto"/>
            <w:bottom w:val="none" w:sz="0" w:space="0" w:color="auto"/>
            <w:right w:val="none" w:sz="0" w:space="0" w:color="auto"/>
          </w:divBdr>
          <w:divsChild>
            <w:div w:id="612053765">
              <w:marLeft w:val="0"/>
              <w:marRight w:val="0"/>
              <w:marTop w:val="0"/>
              <w:marBottom w:val="0"/>
              <w:divBdr>
                <w:top w:val="none" w:sz="0" w:space="0" w:color="auto"/>
                <w:left w:val="none" w:sz="0" w:space="0" w:color="auto"/>
                <w:bottom w:val="none" w:sz="0" w:space="0" w:color="auto"/>
                <w:right w:val="none" w:sz="0" w:space="0" w:color="auto"/>
              </w:divBdr>
            </w:div>
          </w:divsChild>
        </w:div>
        <w:div w:id="1549805449">
          <w:marLeft w:val="0"/>
          <w:marRight w:val="0"/>
          <w:marTop w:val="0"/>
          <w:marBottom w:val="0"/>
          <w:divBdr>
            <w:top w:val="none" w:sz="0" w:space="0" w:color="auto"/>
            <w:left w:val="none" w:sz="0" w:space="0" w:color="auto"/>
            <w:bottom w:val="none" w:sz="0" w:space="0" w:color="auto"/>
            <w:right w:val="none" w:sz="0" w:space="0" w:color="auto"/>
          </w:divBdr>
          <w:divsChild>
            <w:div w:id="2041856934">
              <w:marLeft w:val="0"/>
              <w:marRight w:val="0"/>
              <w:marTop w:val="0"/>
              <w:marBottom w:val="0"/>
              <w:divBdr>
                <w:top w:val="none" w:sz="0" w:space="0" w:color="auto"/>
                <w:left w:val="none" w:sz="0" w:space="0" w:color="auto"/>
                <w:bottom w:val="none" w:sz="0" w:space="0" w:color="auto"/>
                <w:right w:val="none" w:sz="0" w:space="0" w:color="auto"/>
              </w:divBdr>
            </w:div>
          </w:divsChild>
        </w:div>
        <w:div w:id="1421222777">
          <w:marLeft w:val="0"/>
          <w:marRight w:val="0"/>
          <w:marTop w:val="0"/>
          <w:marBottom w:val="0"/>
          <w:divBdr>
            <w:top w:val="none" w:sz="0" w:space="0" w:color="auto"/>
            <w:left w:val="none" w:sz="0" w:space="0" w:color="auto"/>
            <w:bottom w:val="none" w:sz="0" w:space="0" w:color="auto"/>
            <w:right w:val="none" w:sz="0" w:space="0" w:color="auto"/>
          </w:divBdr>
          <w:divsChild>
            <w:div w:id="1088699495">
              <w:marLeft w:val="0"/>
              <w:marRight w:val="0"/>
              <w:marTop w:val="0"/>
              <w:marBottom w:val="0"/>
              <w:divBdr>
                <w:top w:val="none" w:sz="0" w:space="0" w:color="auto"/>
                <w:left w:val="none" w:sz="0" w:space="0" w:color="auto"/>
                <w:bottom w:val="none" w:sz="0" w:space="0" w:color="auto"/>
                <w:right w:val="none" w:sz="0" w:space="0" w:color="auto"/>
              </w:divBdr>
            </w:div>
          </w:divsChild>
        </w:div>
        <w:div w:id="912547041">
          <w:marLeft w:val="0"/>
          <w:marRight w:val="0"/>
          <w:marTop w:val="0"/>
          <w:marBottom w:val="0"/>
          <w:divBdr>
            <w:top w:val="none" w:sz="0" w:space="0" w:color="auto"/>
            <w:left w:val="none" w:sz="0" w:space="0" w:color="auto"/>
            <w:bottom w:val="none" w:sz="0" w:space="0" w:color="auto"/>
            <w:right w:val="none" w:sz="0" w:space="0" w:color="auto"/>
          </w:divBdr>
          <w:divsChild>
            <w:div w:id="184175432">
              <w:marLeft w:val="0"/>
              <w:marRight w:val="0"/>
              <w:marTop w:val="0"/>
              <w:marBottom w:val="0"/>
              <w:divBdr>
                <w:top w:val="none" w:sz="0" w:space="0" w:color="auto"/>
                <w:left w:val="none" w:sz="0" w:space="0" w:color="auto"/>
                <w:bottom w:val="none" w:sz="0" w:space="0" w:color="auto"/>
                <w:right w:val="none" w:sz="0" w:space="0" w:color="auto"/>
              </w:divBdr>
              <w:divsChild>
                <w:div w:id="2138906763">
                  <w:marLeft w:val="0"/>
                  <w:marRight w:val="0"/>
                  <w:marTop w:val="0"/>
                  <w:marBottom w:val="0"/>
                  <w:divBdr>
                    <w:top w:val="none" w:sz="0" w:space="0" w:color="auto"/>
                    <w:left w:val="none" w:sz="0" w:space="0" w:color="auto"/>
                    <w:bottom w:val="none" w:sz="0" w:space="0" w:color="auto"/>
                    <w:right w:val="none" w:sz="0" w:space="0" w:color="auto"/>
                  </w:divBdr>
                  <w:divsChild>
                    <w:div w:id="1376738821">
                      <w:marLeft w:val="0"/>
                      <w:marRight w:val="0"/>
                      <w:marTop w:val="0"/>
                      <w:marBottom w:val="0"/>
                      <w:divBdr>
                        <w:top w:val="none" w:sz="0" w:space="0" w:color="auto"/>
                        <w:left w:val="none" w:sz="0" w:space="0" w:color="auto"/>
                        <w:bottom w:val="none" w:sz="0" w:space="0" w:color="auto"/>
                        <w:right w:val="none" w:sz="0" w:space="0" w:color="auto"/>
                      </w:divBdr>
                      <w:divsChild>
                        <w:div w:id="195115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0575">
          <w:marLeft w:val="0"/>
          <w:marRight w:val="0"/>
          <w:marTop w:val="0"/>
          <w:marBottom w:val="0"/>
          <w:divBdr>
            <w:top w:val="none" w:sz="0" w:space="0" w:color="auto"/>
            <w:left w:val="none" w:sz="0" w:space="0" w:color="auto"/>
            <w:bottom w:val="none" w:sz="0" w:space="0" w:color="auto"/>
            <w:right w:val="none" w:sz="0" w:space="0" w:color="auto"/>
          </w:divBdr>
          <w:divsChild>
            <w:div w:id="2068727202">
              <w:marLeft w:val="0"/>
              <w:marRight w:val="0"/>
              <w:marTop w:val="0"/>
              <w:marBottom w:val="0"/>
              <w:divBdr>
                <w:top w:val="none" w:sz="0" w:space="0" w:color="auto"/>
                <w:left w:val="none" w:sz="0" w:space="0" w:color="auto"/>
                <w:bottom w:val="none" w:sz="0" w:space="0" w:color="auto"/>
                <w:right w:val="none" w:sz="0" w:space="0" w:color="auto"/>
              </w:divBdr>
              <w:divsChild>
                <w:div w:id="681471147">
                  <w:marLeft w:val="0"/>
                  <w:marRight w:val="0"/>
                  <w:marTop w:val="0"/>
                  <w:marBottom w:val="0"/>
                  <w:divBdr>
                    <w:top w:val="none" w:sz="0" w:space="0" w:color="auto"/>
                    <w:left w:val="none" w:sz="0" w:space="0" w:color="auto"/>
                    <w:bottom w:val="none" w:sz="0" w:space="0" w:color="auto"/>
                    <w:right w:val="none" w:sz="0" w:space="0" w:color="auto"/>
                  </w:divBdr>
                  <w:divsChild>
                    <w:div w:id="1832409712">
                      <w:marLeft w:val="0"/>
                      <w:marRight w:val="0"/>
                      <w:marTop w:val="0"/>
                      <w:marBottom w:val="0"/>
                      <w:divBdr>
                        <w:top w:val="none" w:sz="0" w:space="0" w:color="auto"/>
                        <w:left w:val="none" w:sz="0" w:space="0" w:color="auto"/>
                        <w:bottom w:val="none" w:sz="0" w:space="0" w:color="auto"/>
                        <w:right w:val="none" w:sz="0" w:space="0" w:color="auto"/>
                      </w:divBdr>
                      <w:divsChild>
                        <w:div w:id="14250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676964">
          <w:marLeft w:val="0"/>
          <w:marRight w:val="0"/>
          <w:marTop w:val="0"/>
          <w:marBottom w:val="0"/>
          <w:divBdr>
            <w:top w:val="none" w:sz="0" w:space="0" w:color="auto"/>
            <w:left w:val="none" w:sz="0" w:space="0" w:color="auto"/>
            <w:bottom w:val="none" w:sz="0" w:space="0" w:color="auto"/>
            <w:right w:val="none" w:sz="0" w:space="0" w:color="auto"/>
          </w:divBdr>
          <w:divsChild>
            <w:div w:id="1053499863">
              <w:marLeft w:val="0"/>
              <w:marRight w:val="0"/>
              <w:marTop w:val="0"/>
              <w:marBottom w:val="0"/>
              <w:divBdr>
                <w:top w:val="none" w:sz="0" w:space="0" w:color="auto"/>
                <w:left w:val="none" w:sz="0" w:space="0" w:color="auto"/>
                <w:bottom w:val="none" w:sz="0" w:space="0" w:color="auto"/>
                <w:right w:val="none" w:sz="0" w:space="0" w:color="auto"/>
              </w:divBdr>
              <w:divsChild>
                <w:div w:id="1622565616">
                  <w:marLeft w:val="0"/>
                  <w:marRight w:val="0"/>
                  <w:marTop w:val="0"/>
                  <w:marBottom w:val="0"/>
                  <w:divBdr>
                    <w:top w:val="none" w:sz="0" w:space="0" w:color="auto"/>
                    <w:left w:val="none" w:sz="0" w:space="0" w:color="auto"/>
                    <w:bottom w:val="none" w:sz="0" w:space="0" w:color="auto"/>
                    <w:right w:val="none" w:sz="0" w:space="0" w:color="auto"/>
                  </w:divBdr>
                  <w:divsChild>
                    <w:div w:id="1712221678">
                      <w:marLeft w:val="0"/>
                      <w:marRight w:val="0"/>
                      <w:marTop w:val="0"/>
                      <w:marBottom w:val="0"/>
                      <w:divBdr>
                        <w:top w:val="none" w:sz="0" w:space="0" w:color="auto"/>
                        <w:left w:val="none" w:sz="0" w:space="0" w:color="auto"/>
                        <w:bottom w:val="none" w:sz="0" w:space="0" w:color="auto"/>
                        <w:right w:val="none" w:sz="0" w:space="0" w:color="auto"/>
                      </w:divBdr>
                      <w:divsChild>
                        <w:div w:id="13857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388742">
          <w:marLeft w:val="0"/>
          <w:marRight w:val="0"/>
          <w:marTop w:val="0"/>
          <w:marBottom w:val="0"/>
          <w:divBdr>
            <w:top w:val="none" w:sz="0" w:space="0" w:color="auto"/>
            <w:left w:val="none" w:sz="0" w:space="0" w:color="auto"/>
            <w:bottom w:val="none" w:sz="0" w:space="0" w:color="auto"/>
            <w:right w:val="none" w:sz="0" w:space="0" w:color="auto"/>
          </w:divBdr>
          <w:divsChild>
            <w:div w:id="2127910">
              <w:marLeft w:val="0"/>
              <w:marRight w:val="0"/>
              <w:marTop w:val="0"/>
              <w:marBottom w:val="0"/>
              <w:divBdr>
                <w:top w:val="none" w:sz="0" w:space="0" w:color="auto"/>
                <w:left w:val="none" w:sz="0" w:space="0" w:color="auto"/>
                <w:bottom w:val="none" w:sz="0" w:space="0" w:color="auto"/>
                <w:right w:val="none" w:sz="0" w:space="0" w:color="auto"/>
              </w:divBdr>
            </w:div>
          </w:divsChild>
        </w:div>
        <w:div w:id="900479071">
          <w:marLeft w:val="0"/>
          <w:marRight w:val="0"/>
          <w:marTop w:val="0"/>
          <w:marBottom w:val="0"/>
          <w:divBdr>
            <w:top w:val="none" w:sz="0" w:space="0" w:color="auto"/>
            <w:left w:val="none" w:sz="0" w:space="0" w:color="auto"/>
            <w:bottom w:val="none" w:sz="0" w:space="0" w:color="auto"/>
            <w:right w:val="none" w:sz="0" w:space="0" w:color="auto"/>
          </w:divBdr>
          <w:divsChild>
            <w:div w:id="81999874">
              <w:marLeft w:val="0"/>
              <w:marRight w:val="0"/>
              <w:marTop w:val="0"/>
              <w:marBottom w:val="0"/>
              <w:divBdr>
                <w:top w:val="none" w:sz="0" w:space="0" w:color="auto"/>
                <w:left w:val="none" w:sz="0" w:space="0" w:color="auto"/>
                <w:bottom w:val="none" w:sz="0" w:space="0" w:color="auto"/>
                <w:right w:val="none" w:sz="0" w:space="0" w:color="auto"/>
              </w:divBdr>
            </w:div>
          </w:divsChild>
        </w:div>
        <w:div w:id="123813068">
          <w:marLeft w:val="0"/>
          <w:marRight w:val="0"/>
          <w:marTop w:val="0"/>
          <w:marBottom w:val="0"/>
          <w:divBdr>
            <w:top w:val="none" w:sz="0" w:space="0" w:color="auto"/>
            <w:left w:val="none" w:sz="0" w:space="0" w:color="auto"/>
            <w:bottom w:val="none" w:sz="0" w:space="0" w:color="auto"/>
            <w:right w:val="none" w:sz="0" w:space="0" w:color="auto"/>
          </w:divBdr>
          <w:divsChild>
            <w:div w:id="897932988">
              <w:marLeft w:val="0"/>
              <w:marRight w:val="0"/>
              <w:marTop w:val="0"/>
              <w:marBottom w:val="0"/>
              <w:divBdr>
                <w:top w:val="none" w:sz="0" w:space="0" w:color="auto"/>
                <w:left w:val="none" w:sz="0" w:space="0" w:color="auto"/>
                <w:bottom w:val="none" w:sz="0" w:space="0" w:color="auto"/>
                <w:right w:val="none" w:sz="0" w:space="0" w:color="auto"/>
              </w:divBdr>
            </w:div>
          </w:divsChild>
        </w:div>
        <w:div w:id="1353458328">
          <w:marLeft w:val="0"/>
          <w:marRight w:val="0"/>
          <w:marTop w:val="0"/>
          <w:marBottom w:val="0"/>
          <w:divBdr>
            <w:top w:val="none" w:sz="0" w:space="0" w:color="auto"/>
            <w:left w:val="none" w:sz="0" w:space="0" w:color="auto"/>
            <w:bottom w:val="none" w:sz="0" w:space="0" w:color="auto"/>
            <w:right w:val="none" w:sz="0" w:space="0" w:color="auto"/>
          </w:divBdr>
          <w:divsChild>
            <w:div w:id="1934434595">
              <w:marLeft w:val="0"/>
              <w:marRight w:val="0"/>
              <w:marTop w:val="0"/>
              <w:marBottom w:val="0"/>
              <w:divBdr>
                <w:top w:val="none" w:sz="0" w:space="0" w:color="auto"/>
                <w:left w:val="none" w:sz="0" w:space="0" w:color="auto"/>
                <w:bottom w:val="none" w:sz="0" w:space="0" w:color="auto"/>
                <w:right w:val="none" w:sz="0" w:space="0" w:color="auto"/>
              </w:divBdr>
            </w:div>
          </w:divsChild>
        </w:div>
        <w:div w:id="294406286">
          <w:marLeft w:val="0"/>
          <w:marRight w:val="0"/>
          <w:marTop w:val="0"/>
          <w:marBottom w:val="0"/>
          <w:divBdr>
            <w:top w:val="none" w:sz="0" w:space="0" w:color="auto"/>
            <w:left w:val="none" w:sz="0" w:space="0" w:color="auto"/>
            <w:bottom w:val="none" w:sz="0" w:space="0" w:color="auto"/>
            <w:right w:val="none" w:sz="0" w:space="0" w:color="auto"/>
          </w:divBdr>
          <w:divsChild>
            <w:div w:id="1145202415">
              <w:marLeft w:val="0"/>
              <w:marRight w:val="0"/>
              <w:marTop w:val="0"/>
              <w:marBottom w:val="0"/>
              <w:divBdr>
                <w:top w:val="none" w:sz="0" w:space="0" w:color="auto"/>
                <w:left w:val="none" w:sz="0" w:space="0" w:color="auto"/>
                <w:bottom w:val="none" w:sz="0" w:space="0" w:color="auto"/>
                <w:right w:val="none" w:sz="0" w:space="0" w:color="auto"/>
              </w:divBdr>
            </w:div>
          </w:divsChild>
        </w:div>
        <w:div w:id="1435714253">
          <w:marLeft w:val="0"/>
          <w:marRight w:val="0"/>
          <w:marTop w:val="0"/>
          <w:marBottom w:val="0"/>
          <w:divBdr>
            <w:top w:val="none" w:sz="0" w:space="0" w:color="auto"/>
            <w:left w:val="none" w:sz="0" w:space="0" w:color="auto"/>
            <w:bottom w:val="none" w:sz="0" w:space="0" w:color="auto"/>
            <w:right w:val="none" w:sz="0" w:space="0" w:color="auto"/>
          </w:divBdr>
          <w:divsChild>
            <w:div w:id="2053846369">
              <w:marLeft w:val="0"/>
              <w:marRight w:val="0"/>
              <w:marTop w:val="0"/>
              <w:marBottom w:val="0"/>
              <w:divBdr>
                <w:top w:val="none" w:sz="0" w:space="0" w:color="auto"/>
                <w:left w:val="none" w:sz="0" w:space="0" w:color="auto"/>
                <w:bottom w:val="none" w:sz="0" w:space="0" w:color="auto"/>
                <w:right w:val="none" w:sz="0" w:space="0" w:color="auto"/>
              </w:divBdr>
            </w:div>
          </w:divsChild>
        </w:div>
        <w:div w:id="1851483679">
          <w:marLeft w:val="0"/>
          <w:marRight w:val="0"/>
          <w:marTop w:val="0"/>
          <w:marBottom w:val="0"/>
          <w:divBdr>
            <w:top w:val="none" w:sz="0" w:space="0" w:color="auto"/>
            <w:left w:val="none" w:sz="0" w:space="0" w:color="auto"/>
            <w:bottom w:val="none" w:sz="0" w:space="0" w:color="auto"/>
            <w:right w:val="none" w:sz="0" w:space="0" w:color="auto"/>
          </w:divBdr>
          <w:divsChild>
            <w:div w:id="1458569669">
              <w:marLeft w:val="0"/>
              <w:marRight w:val="0"/>
              <w:marTop w:val="0"/>
              <w:marBottom w:val="0"/>
              <w:divBdr>
                <w:top w:val="none" w:sz="0" w:space="0" w:color="auto"/>
                <w:left w:val="none" w:sz="0" w:space="0" w:color="auto"/>
                <w:bottom w:val="none" w:sz="0" w:space="0" w:color="auto"/>
                <w:right w:val="none" w:sz="0" w:space="0" w:color="auto"/>
              </w:divBdr>
              <w:divsChild>
                <w:div w:id="77410506">
                  <w:marLeft w:val="0"/>
                  <w:marRight w:val="0"/>
                  <w:marTop w:val="0"/>
                  <w:marBottom w:val="0"/>
                  <w:divBdr>
                    <w:top w:val="none" w:sz="0" w:space="0" w:color="auto"/>
                    <w:left w:val="none" w:sz="0" w:space="0" w:color="auto"/>
                    <w:bottom w:val="none" w:sz="0" w:space="0" w:color="auto"/>
                    <w:right w:val="none" w:sz="0" w:space="0" w:color="auto"/>
                  </w:divBdr>
                  <w:divsChild>
                    <w:div w:id="119613910">
                      <w:marLeft w:val="0"/>
                      <w:marRight w:val="0"/>
                      <w:marTop w:val="0"/>
                      <w:marBottom w:val="0"/>
                      <w:divBdr>
                        <w:top w:val="none" w:sz="0" w:space="0" w:color="auto"/>
                        <w:left w:val="none" w:sz="0" w:space="0" w:color="auto"/>
                        <w:bottom w:val="none" w:sz="0" w:space="0" w:color="auto"/>
                        <w:right w:val="none" w:sz="0" w:space="0" w:color="auto"/>
                      </w:divBdr>
                      <w:divsChild>
                        <w:div w:id="158499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371451">
          <w:marLeft w:val="0"/>
          <w:marRight w:val="0"/>
          <w:marTop w:val="0"/>
          <w:marBottom w:val="0"/>
          <w:divBdr>
            <w:top w:val="none" w:sz="0" w:space="0" w:color="auto"/>
            <w:left w:val="none" w:sz="0" w:space="0" w:color="auto"/>
            <w:bottom w:val="none" w:sz="0" w:space="0" w:color="auto"/>
            <w:right w:val="none" w:sz="0" w:space="0" w:color="auto"/>
          </w:divBdr>
          <w:divsChild>
            <w:div w:id="1694302971">
              <w:marLeft w:val="0"/>
              <w:marRight w:val="0"/>
              <w:marTop w:val="0"/>
              <w:marBottom w:val="0"/>
              <w:divBdr>
                <w:top w:val="none" w:sz="0" w:space="0" w:color="auto"/>
                <w:left w:val="none" w:sz="0" w:space="0" w:color="auto"/>
                <w:bottom w:val="none" w:sz="0" w:space="0" w:color="auto"/>
                <w:right w:val="none" w:sz="0" w:space="0" w:color="auto"/>
              </w:divBdr>
              <w:divsChild>
                <w:div w:id="822890481">
                  <w:marLeft w:val="0"/>
                  <w:marRight w:val="0"/>
                  <w:marTop w:val="0"/>
                  <w:marBottom w:val="0"/>
                  <w:divBdr>
                    <w:top w:val="none" w:sz="0" w:space="0" w:color="auto"/>
                    <w:left w:val="none" w:sz="0" w:space="0" w:color="auto"/>
                    <w:bottom w:val="none" w:sz="0" w:space="0" w:color="auto"/>
                    <w:right w:val="none" w:sz="0" w:space="0" w:color="auto"/>
                  </w:divBdr>
                  <w:divsChild>
                    <w:div w:id="741636252">
                      <w:marLeft w:val="0"/>
                      <w:marRight w:val="0"/>
                      <w:marTop w:val="0"/>
                      <w:marBottom w:val="0"/>
                      <w:divBdr>
                        <w:top w:val="none" w:sz="0" w:space="0" w:color="auto"/>
                        <w:left w:val="none" w:sz="0" w:space="0" w:color="auto"/>
                        <w:bottom w:val="none" w:sz="0" w:space="0" w:color="auto"/>
                        <w:right w:val="none" w:sz="0" w:space="0" w:color="auto"/>
                      </w:divBdr>
                      <w:divsChild>
                        <w:div w:id="168481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11633">
      <w:bodyDiv w:val="1"/>
      <w:marLeft w:val="0"/>
      <w:marRight w:val="0"/>
      <w:marTop w:val="0"/>
      <w:marBottom w:val="0"/>
      <w:divBdr>
        <w:top w:val="none" w:sz="0" w:space="0" w:color="auto"/>
        <w:left w:val="none" w:sz="0" w:space="0" w:color="auto"/>
        <w:bottom w:val="none" w:sz="0" w:space="0" w:color="auto"/>
        <w:right w:val="none" w:sz="0" w:space="0" w:color="auto"/>
      </w:divBdr>
      <w:divsChild>
        <w:div w:id="287667463">
          <w:marLeft w:val="0"/>
          <w:marRight w:val="0"/>
          <w:marTop w:val="0"/>
          <w:marBottom w:val="0"/>
          <w:divBdr>
            <w:top w:val="none" w:sz="0" w:space="0" w:color="auto"/>
            <w:left w:val="none" w:sz="0" w:space="0" w:color="auto"/>
            <w:bottom w:val="none" w:sz="0" w:space="0" w:color="auto"/>
            <w:right w:val="none" w:sz="0" w:space="0" w:color="auto"/>
          </w:divBdr>
          <w:divsChild>
            <w:div w:id="2104955839">
              <w:marLeft w:val="0"/>
              <w:marRight w:val="0"/>
              <w:marTop w:val="0"/>
              <w:marBottom w:val="0"/>
              <w:divBdr>
                <w:top w:val="none" w:sz="0" w:space="0" w:color="auto"/>
                <w:left w:val="none" w:sz="0" w:space="0" w:color="auto"/>
                <w:bottom w:val="none" w:sz="0" w:space="0" w:color="auto"/>
                <w:right w:val="none" w:sz="0" w:space="0" w:color="auto"/>
              </w:divBdr>
            </w:div>
          </w:divsChild>
        </w:div>
        <w:div w:id="1454785993">
          <w:marLeft w:val="0"/>
          <w:marRight w:val="0"/>
          <w:marTop w:val="0"/>
          <w:marBottom w:val="0"/>
          <w:divBdr>
            <w:top w:val="none" w:sz="0" w:space="0" w:color="auto"/>
            <w:left w:val="none" w:sz="0" w:space="0" w:color="auto"/>
            <w:bottom w:val="none" w:sz="0" w:space="0" w:color="auto"/>
            <w:right w:val="none" w:sz="0" w:space="0" w:color="auto"/>
          </w:divBdr>
          <w:divsChild>
            <w:div w:id="829372228">
              <w:marLeft w:val="0"/>
              <w:marRight w:val="0"/>
              <w:marTop w:val="0"/>
              <w:marBottom w:val="0"/>
              <w:divBdr>
                <w:top w:val="none" w:sz="0" w:space="0" w:color="auto"/>
                <w:left w:val="none" w:sz="0" w:space="0" w:color="auto"/>
                <w:bottom w:val="none" w:sz="0" w:space="0" w:color="auto"/>
                <w:right w:val="none" w:sz="0" w:space="0" w:color="auto"/>
              </w:divBdr>
            </w:div>
          </w:divsChild>
        </w:div>
        <w:div w:id="977228906">
          <w:marLeft w:val="0"/>
          <w:marRight w:val="0"/>
          <w:marTop w:val="0"/>
          <w:marBottom w:val="0"/>
          <w:divBdr>
            <w:top w:val="none" w:sz="0" w:space="0" w:color="auto"/>
            <w:left w:val="none" w:sz="0" w:space="0" w:color="auto"/>
            <w:bottom w:val="none" w:sz="0" w:space="0" w:color="auto"/>
            <w:right w:val="none" w:sz="0" w:space="0" w:color="auto"/>
          </w:divBdr>
          <w:divsChild>
            <w:div w:id="1297761126">
              <w:marLeft w:val="0"/>
              <w:marRight w:val="0"/>
              <w:marTop w:val="0"/>
              <w:marBottom w:val="0"/>
              <w:divBdr>
                <w:top w:val="none" w:sz="0" w:space="0" w:color="auto"/>
                <w:left w:val="none" w:sz="0" w:space="0" w:color="auto"/>
                <w:bottom w:val="none" w:sz="0" w:space="0" w:color="auto"/>
                <w:right w:val="none" w:sz="0" w:space="0" w:color="auto"/>
              </w:divBdr>
            </w:div>
          </w:divsChild>
        </w:div>
        <w:div w:id="1306275568">
          <w:marLeft w:val="0"/>
          <w:marRight w:val="0"/>
          <w:marTop w:val="0"/>
          <w:marBottom w:val="0"/>
          <w:divBdr>
            <w:top w:val="none" w:sz="0" w:space="0" w:color="auto"/>
            <w:left w:val="none" w:sz="0" w:space="0" w:color="auto"/>
            <w:bottom w:val="none" w:sz="0" w:space="0" w:color="auto"/>
            <w:right w:val="none" w:sz="0" w:space="0" w:color="auto"/>
          </w:divBdr>
          <w:divsChild>
            <w:div w:id="1729263536">
              <w:marLeft w:val="0"/>
              <w:marRight w:val="0"/>
              <w:marTop w:val="0"/>
              <w:marBottom w:val="0"/>
              <w:divBdr>
                <w:top w:val="none" w:sz="0" w:space="0" w:color="auto"/>
                <w:left w:val="none" w:sz="0" w:space="0" w:color="auto"/>
                <w:bottom w:val="none" w:sz="0" w:space="0" w:color="auto"/>
                <w:right w:val="none" w:sz="0" w:space="0" w:color="auto"/>
              </w:divBdr>
              <w:divsChild>
                <w:div w:id="279187937">
                  <w:marLeft w:val="0"/>
                  <w:marRight w:val="0"/>
                  <w:marTop w:val="0"/>
                  <w:marBottom w:val="0"/>
                  <w:divBdr>
                    <w:top w:val="none" w:sz="0" w:space="0" w:color="auto"/>
                    <w:left w:val="none" w:sz="0" w:space="0" w:color="auto"/>
                    <w:bottom w:val="none" w:sz="0" w:space="0" w:color="auto"/>
                    <w:right w:val="none" w:sz="0" w:space="0" w:color="auto"/>
                  </w:divBdr>
                  <w:divsChild>
                    <w:div w:id="920722460">
                      <w:marLeft w:val="0"/>
                      <w:marRight w:val="0"/>
                      <w:marTop w:val="0"/>
                      <w:marBottom w:val="0"/>
                      <w:divBdr>
                        <w:top w:val="none" w:sz="0" w:space="0" w:color="auto"/>
                        <w:left w:val="none" w:sz="0" w:space="0" w:color="auto"/>
                        <w:bottom w:val="none" w:sz="0" w:space="0" w:color="auto"/>
                        <w:right w:val="none" w:sz="0" w:space="0" w:color="auto"/>
                      </w:divBdr>
                      <w:divsChild>
                        <w:div w:id="190806693">
                          <w:marLeft w:val="0"/>
                          <w:marRight w:val="0"/>
                          <w:marTop w:val="0"/>
                          <w:marBottom w:val="0"/>
                          <w:divBdr>
                            <w:top w:val="none" w:sz="0" w:space="0" w:color="auto"/>
                            <w:left w:val="none" w:sz="0" w:space="0" w:color="auto"/>
                            <w:bottom w:val="none" w:sz="0" w:space="0" w:color="auto"/>
                            <w:right w:val="none" w:sz="0" w:space="0" w:color="auto"/>
                          </w:divBdr>
                        </w:div>
                      </w:divsChild>
                    </w:div>
                    <w:div w:id="1599220219">
                      <w:marLeft w:val="0"/>
                      <w:marRight w:val="0"/>
                      <w:marTop w:val="0"/>
                      <w:marBottom w:val="0"/>
                      <w:divBdr>
                        <w:top w:val="none" w:sz="0" w:space="0" w:color="auto"/>
                        <w:left w:val="none" w:sz="0" w:space="0" w:color="auto"/>
                        <w:bottom w:val="none" w:sz="0" w:space="0" w:color="auto"/>
                        <w:right w:val="none" w:sz="0" w:space="0" w:color="auto"/>
                      </w:divBdr>
                      <w:divsChild>
                        <w:div w:id="197960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879364">
          <w:marLeft w:val="0"/>
          <w:marRight w:val="0"/>
          <w:marTop w:val="0"/>
          <w:marBottom w:val="0"/>
          <w:divBdr>
            <w:top w:val="none" w:sz="0" w:space="0" w:color="auto"/>
            <w:left w:val="none" w:sz="0" w:space="0" w:color="auto"/>
            <w:bottom w:val="none" w:sz="0" w:space="0" w:color="auto"/>
            <w:right w:val="none" w:sz="0" w:space="0" w:color="auto"/>
          </w:divBdr>
          <w:divsChild>
            <w:div w:id="1889029561">
              <w:marLeft w:val="0"/>
              <w:marRight w:val="0"/>
              <w:marTop w:val="0"/>
              <w:marBottom w:val="0"/>
              <w:divBdr>
                <w:top w:val="none" w:sz="0" w:space="0" w:color="auto"/>
                <w:left w:val="none" w:sz="0" w:space="0" w:color="auto"/>
                <w:bottom w:val="none" w:sz="0" w:space="0" w:color="auto"/>
                <w:right w:val="none" w:sz="0" w:space="0" w:color="auto"/>
              </w:divBdr>
              <w:divsChild>
                <w:div w:id="387650230">
                  <w:marLeft w:val="0"/>
                  <w:marRight w:val="0"/>
                  <w:marTop w:val="0"/>
                  <w:marBottom w:val="0"/>
                  <w:divBdr>
                    <w:top w:val="none" w:sz="0" w:space="0" w:color="auto"/>
                    <w:left w:val="none" w:sz="0" w:space="0" w:color="auto"/>
                    <w:bottom w:val="none" w:sz="0" w:space="0" w:color="auto"/>
                    <w:right w:val="none" w:sz="0" w:space="0" w:color="auto"/>
                  </w:divBdr>
                  <w:divsChild>
                    <w:div w:id="1090585516">
                      <w:marLeft w:val="0"/>
                      <w:marRight w:val="0"/>
                      <w:marTop w:val="0"/>
                      <w:marBottom w:val="0"/>
                      <w:divBdr>
                        <w:top w:val="none" w:sz="0" w:space="0" w:color="auto"/>
                        <w:left w:val="none" w:sz="0" w:space="0" w:color="auto"/>
                        <w:bottom w:val="none" w:sz="0" w:space="0" w:color="auto"/>
                        <w:right w:val="none" w:sz="0" w:space="0" w:color="auto"/>
                      </w:divBdr>
                      <w:divsChild>
                        <w:div w:id="1200781152">
                          <w:marLeft w:val="0"/>
                          <w:marRight w:val="0"/>
                          <w:marTop w:val="0"/>
                          <w:marBottom w:val="0"/>
                          <w:divBdr>
                            <w:top w:val="none" w:sz="0" w:space="0" w:color="auto"/>
                            <w:left w:val="none" w:sz="0" w:space="0" w:color="auto"/>
                            <w:bottom w:val="none" w:sz="0" w:space="0" w:color="auto"/>
                            <w:right w:val="none" w:sz="0" w:space="0" w:color="auto"/>
                          </w:divBdr>
                        </w:div>
                      </w:divsChild>
                    </w:div>
                    <w:div w:id="765999582">
                      <w:marLeft w:val="0"/>
                      <w:marRight w:val="0"/>
                      <w:marTop w:val="0"/>
                      <w:marBottom w:val="0"/>
                      <w:divBdr>
                        <w:top w:val="none" w:sz="0" w:space="0" w:color="auto"/>
                        <w:left w:val="none" w:sz="0" w:space="0" w:color="auto"/>
                        <w:bottom w:val="none" w:sz="0" w:space="0" w:color="auto"/>
                        <w:right w:val="none" w:sz="0" w:space="0" w:color="auto"/>
                      </w:divBdr>
                      <w:divsChild>
                        <w:div w:id="199210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143897">
          <w:marLeft w:val="0"/>
          <w:marRight w:val="0"/>
          <w:marTop w:val="0"/>
          <w:marBottom w:val="0"/>
          <w:divBdr>
            <w:top w:val="none" w:sz="0" w:space="0" w:color="auto"/>
            <w:left w:val="none" w:sz="0" w:space="0" w:color="auto"/>
            <w:bottom w:val="none" w:sz="0" w:space="0" w:color="auto"/>
            <w:right w:val="none" w:sz="0" w:space="0" w:color="auto"/>
          </w:divBdr>
          <w:divsChild>
            <w:div w:id="128630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07550">
      <w:bodyDiv w:val="1"/>
      <w:marLeft w:val="0"/>
      <w:marRight w:val="0"/>
      <w:marTop w:val="0"/>
      <w:marBottom w:val="0"/>
      <w:divBdr>
        <w:top w:val="none" w:sz="0" w:space="0" w:color="auto"/>
        <w:left w:val="none" w:sz="0" w:space="0" w:color="auto"/>
        <w:bottom w:val="none" w:sz="0" w:space="0" w:color="auto"/>
        <w:right w:val="none" w:sz="0" w:space="0" w:color="auto"/>
      </w:divBdr>
      <w:divsChild>
        <w:div w:id="1500077202">
          <w:marLeft w:val="0"/>
          <w:marRight w:val="0"/>
          <w:marTop w:val="0"/>
          <w:marBottom w:val="0"/>
          <w:divBdr>
            <w:top w:val="none" w:sz="0" w:space="0" w:color="auto"/>
            <w:left w:val="none" w:sz="0" w:space="0" w:color="auto"/>
            <w:bottom w:val="none" w:sz="0" w:space="0" w:color="auto"/>
            <w:right w:val="none" w:sz="0" w:space="0" w:color="auto"/>
          </w:divBdr>
          <w:divsChild>
            <w:div w:id="96217550">
              <w:marLeft w:val="0"/>
              <w:marRight w:val="0"/>
              <w:marTop w:val="0"/>
              <w:marBottom w:val="0"/>
              <w:divBdr>
                <w:top w:val="none" w:sz="0" w:space="0" w:color="auto"/>
                <w:left w:val="none" w:sz="0" w:space="0" w:color="auto"/>
                <w:bottom w:val="none" w:sz="0" w:space="0" w:color="auto"/>
                <w:right w:val="none" w:sz="0" w:space="0" w:color="auto"/>
              </w:divBdr>
            </w:div>
          </w:divsChild>
        </w:div>
        <w:div w:id="77602775">
          <w:marLeft w:val="0"/>
          <w:marRight w:val="0"/>
          <w:marTop w:val="0"/>
          <w:marBottom w:val="0"/>
          <w:divBdr>
            <w:top w:val="none" w:sz="0" w:space="0" w:color="auto"/>
            <w:left w:val="none" w:sz="0" w:space="0" w:color="auto"/>
            <w:bottom w:val="none" w:sz="0" w:space="0" w:color="auto"/>
            <w:right w:val="none" w:sz="0" w:space="0" w:color="auto"/>
          </w:divBdr>
          <w:divsChild>
            <w:div w:id="1271209018">
              <w:marLeft w:val="0"/>
              <w:marRight w:val="0"/>
              <w:marTop w:val="0"/>
              <w:marBottom w:val="0"/>
              <w:divBdr>
                <w:top w:val="none" w:sz="0" w:space="0" w:color="auto"/>
                <w:left w:val="none" w:sz="0" w:space="0" w:color="auto"/>
                <w:bottom w:val="none" w:sz="0" w:space="0" w:color="auto"/>
                <w:right w:val="none" w:sz="0" w:space="0" w:color="auto"/>
              </w:divBdr>
              <w:divsChild>
                <w:div w:id="1415514715">
                  <w:marLeft w:val="0"/>
                  <w:marRight w:val="0"/>
                  <w:marTop w:val="0"/>
                  <w:marBottom w:val="0"/>
                  <w:divBdr>
                    <w:top w:val="none" w:sz="0" w:space="0" w:color="auto"/>
                    <w:left w:val="none" w:sz="0" w:space="0" w:color="auto"/>
                    <w:bottom w:val="none" w:sz="0" w:space="0" w:color="auto"/>
                    <w:right w:val="none" w:sz="0" w:space="0" w:color="auto"/>
                  </w:divBdr>
                  <w:divsChild>
                    <w:div w:id="718356690">
                      <w:marLeft w:val="0"/>
                      <w:marRight w:val="0"/>
                      <w:marTop w:val="0"/>
                      <w:marBottom w:val="0"/>
                      <w:divBdr>
                        <w:top w:val="none" w:sz="0" w:space="0" w:color="auto"/>
                        <w:left w:val="none" w:sz="0" w:space="0" w:color="auto"/>
                        <w:bottom w:val="none" w:sz="0" w:space="0" w:color="auto"/>
                        <w:right w:val="none" w:sz="0" w:space="0" w:color="auto"/>
                      </w:divBdr>
                      <w:divsChild>
                        <w:div w:id="216554937">
                          <w:marLeft w:val="0"/>
                          <w:marRight w:val="0"/>
                          <w:marTop w:val="0"/>
                          <w:marBottom w:val="0"/>
                          <w:divBdr>
                            <w:top w:val="none" w:sz="0" w:space="0" w:color="auto"/>
                            <w:left w:val="none" w:sz="0" w:space="0" w:color="auto"/>
                            <w:bottom w:val="none" w:sz="0" w:space="0" w:color="auto"/>
                            <w:right w:val="none" w:sz="0" w:space="0" w:color="auto"/>
                          </w:divBdr>
                          <w:divsChild>
                            <w:div w:id="1927685106">
                              <w:marLeft w:val="0"/>
                              <w:marRight w:val="0"/>
                              <w:marTop w:val="0"/>
                              <w:marBottom w:val="0"/>
                              <w:divBdr>
                                <w:top w:val="none" w:sz="0" w:space="0" w:color="auto"/>
                                <w:left w:val="none" w:sz="0" w:space="0" w:color="auto"/>
                                <w:bottom w:val="none" w:sz="0" w:space="0" w:color="auto"/>
                                <w:right w:val="none" w:sz="0" w:space="0" w:color="auto"/>
                              </w:divBdr>
                            </w:div>
                          </w:divsChild>
                        </w:div>
                        <w:div w:id="1722745222">
                          <w:marLeft w:val="0"/>
                          <w:marRight w:val="0"/>
                          <w:marTop w:val="0"/>
                          <w:marBottom w:val="0"/>
                          <w:divBdr>
                            <w:top w:val="none" w:sz="0" w:space="0" w:color="auto"/>
                            <w:left w:val="none" w:sz="0" w:space="0" w:color="auto"/>
                            <w:bottom w:val="none" w:sz="0" w:space="0" w:color="auto"/>
                            <w:right w:val="none" w:sz="0" w:space="0" w:color="auto"/>
                          </w:divBdr>
                          <w:divsChild>
                            <w:div w:id="586576336">
                              <w:marLeft w:val="0"/>
                              <w:marRight w:val="0"/>
                              <w:marTop w:val="0"/>
                              <w:marBottom w:val="0"/>
                              <w:divBdr>
                                <w:top w:val="none" w:sz="0" w:space="0" w:color="auto"/>
                                <w:left w:val="none" w:sz="0" w:space="0" w:color="auto"/>
                                <w:bottom w:val="none" w:sz="0" w:space="0" w:color="auto"/>
                                <w:right w:val="none" w:sz="0" w:space="0" w:color="auto"/>
                              </w:divBdr>
                            </w:div>
                          </w:divsChild>
                        </w:div>
                        <w:div w:id="1977758528">
                          <w:marLeft w:val="0"/>
                          <w:marRight w:val="0"/>
                          <w:marTop w:val="0"/>
                          <w:marBottom w:val="0"/>
                          <w:divBdr>
                            <w:top w:val="none" w:sz="0" w:space="0" w:color="auto"/>
                            <w:left w:val="none" w:sz="0" w:space="0" w:color="auto"/>
                            <w:bottom w:val="none" w:sz="0" w:space="0" w:color="auto"/>
                            <w:right w:val="none" w:sz="0" w:space="0" w:color="auto"/>
                          </w:divBdr>
                          <w:divsChild>
                            <w:div w:id="158158373">
                              <w:marLeft w:val="0"/>
                              <w:marRight w:val="0"/>
                              <w:marTop w:val="0"/>
                              <w:marBottom w:val="0"/>
                              <w:divBdr>
                                <w:top w:val="none" w:sz="0" w:space="0" w:color="auto"/>
                                <w:left w:val="none" w:sz="0" w:space="0" w:color="auto"/>
                                <w:bottom w:val="none" w:sz="0" w:space="0" w:color="auto"/>
                                <w:right w:val="none" w:sz="0" w:space="0" w:color="auto"/>
                              </w:divBdr>
                            </w:div>
                          </w:divsChild>
                        </w:div>
                        <w:div w:id="1684093618">
                          <w:marLeft w:val="0"/>
                          <w:marRight w:val="0"/>
                          <w:marTop w:val="0"/>
                          <w:marBottom w:val="0"/>
                          <w:divBdr>
                            <w:top w:val="none" w:sz="0" w:space="0" w:color="auto"/>
                            <w:left w:val="none" w:sz="0" w:space="0" w:color="auto"/>
                            <w:bottom w:val="none" w:sz="0" w:space="0" w:color="auto"/>
                            <w:right w:val="none" w:sz="0" w:space="0" w:color="auto"/>
                          </w:divBdr>
                          <w:divsChild>
                            <w:div w:id="713850718">
                              <w:marLeft w:val="0"/>
                              <w:marRight w:val="0"/>
                              <w:marTop w:val="0"/>
                              <w:marBottom w:val="0"/>
                              <w:divBdr>
                                <w:top w:val="none" w:sz="0" w:space="0" w:color="auto"/>
                                <w:left w:val="none" w:sz="0" w:space="0" w:color="auto"/>
                                <w:bottom w:val="none" w:sz="0" w:space="0" w:color="auto"/>
                                <w:right w:val="none" w:sz="0" w:space="0" w:color="auto"/>
                              </w:divBdr>
                            </w:div>
                          </w:divsChild>
                        </w:div>
                        <w:div w:id="2061249324">
                          <w:marLeft w:val="0"/>
                          <w:marRight w:val="0"/>
                          <w:marTop w:val="0"/>
                          <w:marBottom w:val="0"/>
                          <w:divBdr>
                            <w:top w:val="none" w:sz="0" w:space="0" w:color="auto"/>
                            <w:left w:val="none" w:sz="0" w:space="0" w:color="auto"/>
                            <w:bottom w:val="none" w:sz="0" w:space="0" w:color="auto"/>
                            <w:right w:val="none" w:sz="0" w:space="0" w:color="auto"/>
                          </w:divBdr>
                          <w:divsChild>
                            <w:div w:id="1378310974">
                              <w:marLeft w:val="0"/>
                              <w:marRight w:val="0"/>
                              <w:marTop w:val="0"/>
                              <w:marBottom w:val="0"/>
                              <w:divBdr>
                                <w:top w:val="none" w:sz="0" w:space="0" w:color="auto"/>
                                <w:left w:val="none" w:sz="0" w:space="0" w:color="auto"/>
                                <w:bottom w:val="none" w:sz="0" w:space="0" w:color="auto"/>
                                <w:right w:val="none" w:sz="0" w:space="0" w:color="auto"/>
                              </w:divBdr>
                            </w:div>
                          </w:divsChild>
                        </w:div>
                        <w:div w:id="482360109">
                          <w:marLeft w:val="0"/>
                          <w:marRight w:val="0"/>
                          <w:marTop w:val="0"/>
                          <w:marBottom w:val="0"/>
                          <w:divBdr>
                            <w:top w:val="none" w:sz="0" w:space="0" w:color="auto"/>
                            <w:left w:val="none" w:sz="0" w:space="0" w:color="auto"/>
                            <w:bottom w:val="none" w:sz="0" w:space="0" w:color="auto"/>
                            <w:right w:val="none" w:sz="0" w:space="0" w:color="auto"/>
                          </w:divBdr>
                          <w:divsChild>
                            <w:div w:id="1024328038">
                              <w:marLeft w:val="0"/>
                              <w:marRight w:val="0"/>
                              <w:marTop w:val="0"/>
                              <w:marBottom w:val="0"/>
                              <w:divBdr>
                                <w:top w:val="none" w:sz="0" w:space="0" w:color="auto"/>
                                <w:left w:val="none" w:sz="0" w:space="0" w:color="auto"/>
                                <w:bottom w:val="none" w:sz="0" w:space="0" w:color="auto"/>
                                <w:right w:val="none" w:sz="0" w:space="0" w:color="auto"/>
                              </w:divBdr>
                            </w:div>
                          </w:divsChild>
                        </w:div>
                        <w:div w:id="980500175">
                          <w:marLeft w:val="0"/>
                          <w:marRight w:val="0"/>
                          <w:marTop w:val="0"/>
                          <w:marBottom w:val="0"/>
                          <w:divBdr>
                            <w:top w:val="none" w:sz="0" w:space="0" w:color="auto"/>
                            <w:left w:val="none" w:sz="0" w:space="0" w:color="auto"/>
                            <w:bottom w:val="none" w:sz="0" w:space="0" w:color="auto"/>
                            <w:right w:val="none" w:sz="0" w:space="0" w:color="auto"/>
                          </w:divBdr>
                          <w:divsChild>
                            <w:div w:id="1127624709">
                              <w:marLeft w:val="0"/>
                              <w:marRight w:val="0"/>
                              <w:marTop w:val="0"/>
                              <w:marBottom w:val="0"/>
                              <w:divBdr>
                                <w:top w:val="none" w:sz="0" w:space="0" w:color="auto"/>
                                <w:left w:val="none" w:sz="0" w:space="0" w:color="auto"/>
                                <w:bottom w:val="none" w:sz="0" w:space="0" w:color="auto"/>
                                <w:right w:val="none" w:sz="0" w:space="0" w:color="auto"/>
                              </w:divBdr>
                            </w:div>
                          </w:divsChild>
                        </w:div>
                        <w:div w:id="1821966644">
                          <w:marLeft w:val="0"/>
                          <w:marRight w:val="0"/>
                          <w:marTop w:val="0"/>
                          <w:marBottom w:val="0"/>
                          <w:divBdr>
                            <w:top w:val="none" w:sz="0" w:space="0" w:color="auto"/>
                            <w:left w:val="none" w:sz="0" w:space="0" w:color="auto"/>
                            <w:bottom w:val="none" w:sz="0" w:space="0" w:color="auto"/>
                            <w:right w:val="none" w:sz="0" w:space="0" w:color="auto"/>
                          </w:divBdr>
                          <w:divsChild>
                            <w:div w:id="874462482">
                              <w:marLeft w:val="0"/>
                              <w:marRight w:val="0"/>
                              <w:marTop w:val="0"/>
                              <w:marBottom w:val="0"/>
                              <w:divBdr>
                                <w:top w:val="none" w:sz="0" w:space="0" w:color="auto"/>
                                <w:left w:val="none" w:sz="0" w:space="0" w:color="auto"/>
                                <w:bottom w:val="none" w:sz="0" w:space="0" w:color="auto"/>
                                <w:right w:val="none" w:sz="0" w:space="0" w:color="auto"/>
                              </w:divBdr>
                            </w:div>
                          </w:divsChild>
                        </w:div>
                        <w:div w:id="143595659">
                          <w:marLeft w:val="0"/>
                          <w:marRight w:val="0"/>
                          <w:marTop w:val="0"/>
                          <w:marBottom w:val="0"/>
                          <w:divBdr>
                            <w:top w:val="none" w:sz="0" w:space="0" w:color="auto"/>
                            <w:left w:val="none" w:sz="0" w:space="0" w:color="auto"/>
                            <w:bottom w:val="none" w:sz="0" w:space="0" w:color="auto"/>
                            <w:right w:val="none" w:sz="0" w:space="0" w:color="auto"/>
                          </w:divBdr>
                          <w:divsChild>
                            <w:div w:id="11126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176170">
              <w:marLeft w:val="0"/>
              <w:marRight w:val="0"/>
              <w:marTop w:val="0"/>
              <w:marBottom w:val="0"/>
              <w:divBdr>
                <w:top w:val="none" w:sz="0" w:space="0" w:color="auto"/>
                <w:left w:val="none" w:sz="0" w:space="0" w:color="auto"/>
                <w:bottom w:val="none" w:sz="0" w:space="0" w:color="auto"/>
                <w:right w:val="none" w:sz="0" w:space="0" w:color="auto"/>
              </w:divBdr>
              <w:divsChild>
                <w:div w:id="1164979068">
                  <w:marLeft w:val="0"/>
                  <w:marRight w:val="0"/>
                  <w:marTop w:val="0"/>
                  <w:marBottom w:val="0"/>
                  <w:divBdr>
                    <w:top w:val="none" w:sz="0" w:space="0" w:color="auto"/>
                    <w:left w:val="none" w:sz="0" w:space="0" w:color="auto"/>
                    <w:bottom w:val="none" w:sz="0" w:space="0" w:color="auto"/>
                    <w:right w:val="none" w:sz="0" w:space="0" w:color="auto"/>
                  </w:divBdr>
                  <w:divsChild>
                    <w:div w:id="1289509589">
                      <w:marLeft w:val="0"/>
                      <w:marRight w:val="0"/>
                      <w:marTop w:val="0"/>
                      <w:marBottom w:val="0"/>
                      <w:divBdr>
                        <w:top w:val="none" w:sz="0" w:space="0" w:color="auto"/>
                        <w:left w:val="none" w:sz="0" w:space="0" w:color="auto"/>
                        <w:bottom w:val="none" w:sz="0" w:space="0" w:color="auto"/>
                        <w:right w:val="none" w:sz="0" w:space="0" w:color="auto"/>
                      </w:divBdr>
                      <w:divsChild>
                        <w:div w:id="1159230885">
                          <w:marLeft w:val="0"/>
                          <w:marRight w:val="0"/>
                          <w:marTop w:val="0"/>
                          <w:marBottom w:val="0"/>
                          <w:divBdr>
                            <w:top w:val="none" w:sz="0" w:space="0" w:color="auto"/>
                            <w:left w:val="none" w:sz="0" w:space="0" w:color="auto"/>
                            <w:bottom w:val="none" w:sz="0" w:space="0" w:color="auto"/>
                            <w:right w:val="none" w:sz="0" w:space="0" w:color="auto"/>
                          </w:divBdr>
                          <w:divsChild>
                            <w:div w:id="1705445488">
                              <w:marLeft w:val="0"/>
                              <w:marRight w:val="0"/>
                              <w:marTop w:val="0"/>
                              <w:marBottom w:val="0"/>
                              <w:divBdr>
                                <w:top w:val="none" w:sz="0" w:space="0" w:color="auto"/>
                                <w:left w:val="none" w:sz="0" w:space="0" w:color="auto"/>
                                <w:bottom w:val="none" w:sz="0" w:space="0" w:color="auto"/>
                                <w:right w:val="none" w:sz="0" w:space="0" w:color="auto"/>
                              </w:divBdr>
                            </w:div>
                          </w:divsChild>
                        </w:div>
                        <w:div w:id="948660668">
                          <w:marLeft w:val="0"/>
                          <w:marRight w:val="0"/>
                          <w:marTop w:val="0"/>
                          <w:marBottom w:val="0"/>
                          <w:divBdr>
                            <w:top w:val="none" w:sz="0" w:space="0" w:color="auto"/>
                            <w:left w:val="none" w:sz="0" w:space="0" w:color="auto"/>
                            <w:bottom w:val="none" w:sz="0" w:space="0" w:color="auto"/>
                            <w:right w:val="none" w:sz="0" w:space="0" w:color="auto"/>
                          </w:divBdr>
                          <w:divsChild>
                            <w:div w:id="1575822750">
                              <w:marLeft w:val="0"/>
                              <w:marRight w:val="0"/>
                              <w:marTop w:val="0"/>
                              <w:marBottom w:val="0"/>
                              <w:divBdr>
                                <w:top w:val="none" w:sz="0" w:space="0" w:color="auto"/>
                                <w:left w:val="none" w:sz="0" w:space="0" w:color="auto"/>
                                <w:bottom w:val="none" w:sz="0" w:space="0" w:color="auto"/>
                                <w:right w:val="none" w:sz="0" w:space="0" w:color="auto"/>
                              </w:divBdr>
                            </w:div>
                          </w:divsChild>
                        </w:div>
                        <w:div w:id="1917663324">
                          <w:marLeft w:val="0"/>
                          <w:marRight w:val="0"/>
                          <w:marTop w:val="0"/>
                          <w:marBottom w:val="0"/>
                          <w:divBdr>
                            <w:top w:val="none" w:sz="0" w:space="0" w:color="auto"/>
                            <w:left w:val="none" w:sz="0" w:space="0" w:color="auto"/>
                            <w:bottom w:val="none" w:sz="0" w:space="0" w:color="auto"/>
                            <w:right w:val="none" w:sz="0" w:space="0" w:color="auto"/>
                          </w:divBdr>
                          <w:divsChild>
                            <w:div w:id="7610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466433">
              <w:marLeft w:val="0"/>
              <w:marRight w:val="0"/>
              <w:marTop w:val="0"/>
              <w:marBottom w:val="0"/>
              <w:divBdr>
                <w:top w:val="none" w:sz="0" w:space="0" w:color="auto"/>
                <w:left w:val="none" w:sz="0" w:space="0" w:color="auto"/>
                <w:bottom w:val="none" w:sz="0" w:space="0" w:color="auto"/>
                <w:right w:val="none" w:sz="0" w:space="0" w:color="auto"/>
              </w:divBdr>
              <w:divsChild>
                <w:div w:id="641346554">
                  <w:marLeft w:val="0"/>
                  <w:marRight w:val="0"/>
                  <w:marTop w:val="0"/>
                  <w:marBottom w:val="0"/>
                  <w:divBdr>
                    <w:top w:val="none" w:sz="0" w:space="0" w:color="auto"/>
                    <w:left w:val="none" w:sz="0" w:space="0" w:color="auto"/>
                    <w:bottom w:val="none" w:sz="0" w:space="0" w:color="auto"/>
                    <w:right w:val="none" w:sz="0" w:space="0" w:color="auto"/>
                  </w:divBdr>
                  <w:divsChild>
                    <w:div w:id="1427112744">
                      <w:marLeft w:val="0"/>
                      <w:marRight w:val="0"/>
                      <w:marTop w:val="0"/>
                      <w:marBottom w:val="0"/>
                      <w:divBdr>
                        <w:top w:val="none" w:sz="0" w:space="0" w:color="auto"/>
                        <w:left w:val="none" w:sz="0" w:space="0" w:color="auto"/>
                        <w:bottom w:val="none" w:sz="0" w:space="0" w:color="auto"/>
                        <w:right w:val="none" w:sz="0" w:space="0" w:color="auto"/>
                      </w:divBdr>
                      <w:divsChild>
                        <w:div w:id="1566060704">
                          <w:marLeft w:val="0"/>
                          <w:marRight w:val="0"/>
                          <w:marTop w:val="0"/>
                          <w:marBottom w:val="0"/>
                          <w:divBdr>
                            <w:top w:val="none" w:sz="0" w:space="0" w:color="auto"/>
                            <w:left w:val="none" w:sz="0" w:space="0" w:color="auto"/>
                            <w:bottom w:val="none" w:sz="0" w:space="0" w:color="auto"/>
                            <w:right w:val="none" w:sz="0" w:space="0" w:color="auto"/>
                          </w:divBdr>
                          <w:divsChild>
                            <w:div w:id="915014412">
                              <w:marLeft w:val="0"/>
                              <w:marRight w:val="0"/>
                              <w:marTop w:val="0"/>
                              <w:marBottom w:val="0"/>
                              <w:divBdr>
                                <w:top w:val="none" w:sz="0" w:space="0" w:color="auto"/>
                                <w:left w:val="none" w:sz="0" w:space="0" w:color="auto"/>
                                <w:bottom w:val="none" w:sz="0" w:space="0" w:color="auto"/>
                                <w:right w:val="none" w:sz="0" w:space="0" w:color="auto"/>
                              </w:divBdr>
                            </w:div>
                          </w:divsChild>
                        </w:div>
                        <w:div w:id="400641016">
                          <w:marLeft w:val="0"/>
                          <w:marRight w:val="0"/>
                          <w:marTop w:val="0"/>
                          <w:marBottom w:val="0"/>
                          <w:divBdr>
                            <w:top w:val="none" w:sz="0" w:space="0" w:color="auto"/>
                            <w:left w:val="none" w:sz="0" w:space="0" w:color="auto"/>
                            <w:bottom w:val="none" w:sz="0" w:space="0" w:color="auto"/>
                            <w:right w:val="none" w:sz="0" w:space="0" w:color="auto"/>
                          </w:divBdr>
                          <w:divsChild>
                            <w:div w:id="87624048">
                              <w:marLeft w:val="0"/>
                              <w:marRight w:val="0"/>
                              <w:marTop w:val="0"/>
                              <w:marBottom w:val="0"/>
                              <w:divBdr>
                                <w:top w:val="none" w:sz="0" w:space="0" w:color="auto"/>
                                <w:left w:val="none" w:sz="0" w:space="0" w:color="auto"/>
                                <w:bottom w:val="none" w:sz="0" w:space="0" w:color="auto"/>
                                <w:right w:val="none" w:sz="0" w:space="0" w:color="auto"/>
                              </w:divBdr>
                            </w:div>
                          </w:divsChild>
                        </w:div>
                        <w:div w:id="373970909">
                          <w:marLeft w:val="0"/>
                          <w:marRight w:val="0"/>
                          <w:marTop w:val="0"/>
                          <w:marBottom w:val="0"/>
                          <w:divBdr>
                            <w:top w:val="none" w:sz="0" w:space="0" w:color="auto"/>
                            <w:left w:val="none" w:sz="0" w:space="0" w:color="auto"/>
                            <w:bottom w:val="none" w:sz="0" w:space="0" w:color="auto"/>
                            <w:right w:val="none" w:sz="0" w:space="0" w:color="auto"/>
                          </w:divBdr>
                          <w:divsChild>
                            <w:div w:id="5717097">
                              <w:marLeft w:val="0"/>
                              <w:marRight w:val="0"/>
                              <w:marTop w:val="0"/>
                              <w:marBottom w:val="0"/>
                              <w:divBdr>
                                <w:top w:val="none" w:sz="0" w:space="0" w:color="auto"/>
                                <w:left w:val="none" w:sz="0" w:space="0" w:color="auto"/>
                                <w:bottom w:val="none" w:sz="0" w:space="0" w:color="auto"/>
                                <w:right w:val="none" w:sz="0" w:space="0" w:color="auto"/>
                              </w:divBdr>
                            </w:div>
                          </w:divsChild>
                        </w:div>
                        <w:div w:id="1610695922">
                          <w:marLeft w:val="0"/>
                          <w:marRight w:val="0"/>
                          <w:marTop w:val="0"/>
                          <w:marBottom w:val="0"/>
                          <w:divBdr>
                            <w:top w:val="none" w:sz="0" w:space="0" w:color="auto"/>
                            <w:left w:val="none" w:sz="0" w:space="0" w:color="auto"/>
                            <w:bottom w:val="none" w:sz="0" w:space="0" w:color="auto"/>
                            <w:right w:val="none" w:sz="0" w:space="0" w:color="auto"/>
                          </w:divBdr>
                          <w:divsChild>
                            <w:div w:id="1615093415">
                              <w:marLeft w:val="0"/>
                              <w:marRight w:val="0"/>
                              <w:marTop w:val="0"/>
                              <w:marBottom w:val="0"/>
                              <w:divBdr>
                                <w:top w:val="none" w:sz="0" w:space="0" w:color="auto"/>
                                <w:left w:val="none" w:sz="0" w:space="0" w:color="auto"/>
                                <w:bottom w:val="none" w:sz="0" w:space="0" w:color="auto"/>
                                <w:right w:val="none" w:sz="0" w:space="0" w:color="auto"/>
                              </w:divBdr>
                            </w:div>
                          </w:divsChild>
                        </w:div>
                        <w:div w:id="871529214">
                          <w:marLeft w:val="0"/>
                          <w:marRight w:val="0"/>
                          <w:marTop w:val="0"/>
                          <w:marBottom w:val="0"/>
                          <w:divBdr>
                            <w:top w:val="none" w:sz="0" w:space="0" w:color="auto"/>
                            <w:left w:val="none" w:sz="0" w:space="0" w:color="auto"/>
                            <w:bottom w:val="none" w:sz="0" w:space="0" w:color="auto"/>
                            <w:right w:val="none" w:sz="0" w:space="0" w:color="auto"/>
                          </w:divBdr>
                          <w:divsChild>
                            <w:div w:id="158230046">
                              <w:marLeft w:val="0"/>
                              <w:marRight w:val="0"/>
                              <w:marTop w:val="0"/>
                              <w:marBottom w:val="0"/>
                              <w:divBdr>
                                <w:top w:val="none" w:sz="0" w:space="0" w:color="auto"/>
                                <w:left w:val="none" w:sz="0" w:space="0" w:color="auto"/>
                                <w:bottom w:val="none" w:sz="0" w:space="0" w:color="auto"/>
                                <w:right w:val="none" w:sz="0" w:space="0" w:color="auto"/>
                              </w:divBdr>
                            </w:div>
                          </w:divsChild>
                        </w:div>
                        <w:div w:id="1887335302">
                          <w:marLeft w:val="0"/>
                          <w:marRight w:val="0"/>
                          <w:marTop w:val="0"/>
                          <w:marBottom w:val="0"/>
                          <w:divBdr>
                            <w:top w:val="none" w:sz="0" w:space="0" w:color="auto"/>
                            <w:left w:val="none" w:sz="0" w:space="0" w:color="auto"/>
                            <w:bottom w:val="none" w:sz="0" w:space="0" w:color="auto"/>
                            <w:right w:val="none" w:sz="0" w:space="0" w:color="auto"/>
                          </w:divBdr>
                          <w:divsChild>
                            <w:div w:id="524751422">
                              <w:marLeft w:val="0"/>
                              <w:marRight w:val="0"/>
                              <w:marTop w:val="0"/>
                              <w:marBottom w:val="0"/>
                              <w:divBdr>
                                <w:top w:val="none" w:sz="0" w:space="0" w:color="auto"/>
                                <w:left w:val="none" w:sz="0" w:space="0" w:color="auto"/>
                                <w:bottom w:val="none" w:sz="0" w:space="0" w:color="auto"/>
                                <w:right w:val="none" w:sz="0" w:space="0" w:color="auto"/>
                              </w:divBdr>
                            </w:div>
                          </w:divsChild>
                        </w:div>
                        <w:div w:id="1129325892">
                          <w:marLeft w:val="0"/>
                          <w:marRight w:val="0"/>
                          <w:marTop w:val="0"/>
                          <w:marBottom w:val="0"/>
                          <w:divBdr>
                            <w:top w:val="none" w:sz="0" w:space="0" w:color="auto"/>
                            <w:left w:val="none" w:sz="0" w:space="0" w:color="auto"/>
                            <w:bottom w:val="none" w:sz="0" w:space="0" w:color="auto"/>
                            <w:right w:val="none" w:sz="0" w:space="0" w:color="auto"/>
                          </w:divBdr>
                          <w:divsChild>
                            <w:div w:id="13287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793308">
      <w:bodyDiv w:val="1"/>
      <w:marLeft w:val="0"/>
      <w:marRight w:val="0"/>
      <w:marTop w:val="0"/>
      <w:marBottom w:val="0"/>
      <w:divBdr>
        <w:top w:val="none" w:sz="0" w:space="0" w:color="auto"/>
        <w:left w:val="none" w:sz="0" w:space="0" w:color="auto"/>
        <w:bottom w:val="none" w:sz="0" w:space="0" w:color="auto"/>
        <w:right w:val="none" w:sz="0" w:space="0" w:color="auto"/>
      </w:divBdr>
      <w:divsChild>
        <w:div w:id="1590308377">
          <w:marLeft w:val="0"/>
          <w:marRight w:val="0"/>
          <w:marTop w:val="0"/>
          <w:marBottom w:val="0"/>
          <w:divBdr>
            <w:top w:val="none" w:sz="0" w:space="0" w:color="auto"/>
            <w:left w:val="none" w:sz="0" w:space="0" w:color="auto"/>
            <w:bottom w:val="none" w:sz="0" w:space="0" w:color="auto"/>
            <w:right w:val="none" w:sz="0" w:space="0" w:color="auto"/>
          </w:divBdr>
          <w:divsChild>
            <w:div w:id="570042346">
              <w:marLeft w:val="0"/>
              <w:marRight w:val="0"/>
              <w:marTop w:val="0"/>
              <w:marBottom w:val="0"/>
              <w:divBdr>
                <w:top w:val="none" w:sz="0" w:space="0" w:color="auto"/>
                <w:left w:val="none" w:sz="0" w:space="0" w:color="auto"/>
                <w:bottom w:val="none" w:sz="0" w:space="0" w:color="auto"/>
                <w:right w:val="none" w:sz="0" w:space="0" w:color="auto"/>
              </w:divBdr>
            </w:div>
          </w:divsChild>
        </w:div>
        <w:div w:id="1786149555">
          <w:marLeft w:val="0"/>
          <w:marRight w:val="0"/>
          <w:marTop w:val="0"/>
          <w:marBottom w:val="0"/>
          <w:divBdr>
            <w:top w:val="none" w:sz="0" w:space="0" w:color="auto"/>
            <w:left w:val="none" w:sz="0" w:space="0" w:color="auto"/>
            <w:bottom w:val="none" w:sz="0" w:space="0" w:color="auto"/>
            <w:right w:val="none" w:sz="0" w:space="0" w:color="auto"/>
          </w:divBdr>
          <w:divsChild>
            <w:div w:id="485324668">
              <w:marLeft w:val="0"/>
              <w:marRight w:val="0"/>
              <w:marTop w:val="0"/>
              <w:marBottom w:val="0"/>
              <w:divBdr>
                <w:top w:val="none" w:sz="0" w:space="0" w:color="auto"/>
                <w:left w:val="none" w:sz="0" w:space="0" w:color="auto"/>
                <w:bottom w:val="none" w:sz="0" w:space="0" w:color="auto"/>
                <w:right w:val="none" w:sz="0" w:space="0" w:color="auto"/>
              </w:divBdr>
            </w:div>
          </w:divsChild>
        </w:div>
        <w:div w:id="778571824">
          <w:marLeft w:val="0"/>
          <w:marRight w:val="0"/>
          <w:marTop w:val="0"/>
          <w:marBottom w:val="0"/>
          <w:divBdr>
            <w:top w:val="none" w:sz="0" w:space="0" w:color="auto"/>
            <w:left w:val="none" w:sz="0" w:space="0" w:color="auto"/>
            <w:bottom w:val="none" w:sz="0" w:space="0" w:color="auto"/>
            <w:right w:val="none" w:sz="0" w:space="0" w:color="auto"/>
          </w:divBdr>
          <w:divsChild>
            <w:div w:id="1458334011">
              <w:marLeft w:val="0"/>
              <w:marRight w:val="0"/>
              <w:marTop w:val="0"/>
              <w:marBottom w:val="0"/>
              <w:divBdr>
                <w:top w:val="none" w:sz="0" w:space="0" w:color="auto"/>
                <w:left w:val="none" w:sz="0" w:space="0" w:color="auto"/>
                <w:bottom w:val="none" w:sz="0" w:space="0" w:color="auto"/>
                <w:right w:val="none" w:sz="0" w:space="0" w:color="auto"/>
              </w:divBdr>
            </w:div>
          </w:divsChild>
        </w:div>
        <w:div w:id="1984045816">
          <w:marLeft w:val="0"/>
          <w:marRight w:val="0"/>
          <w:marTop w:val="0"/>
          <w:marBottom w:val="0"/>
          <w:divBdr>
            <w:top w:val="none" w:sz="0" w:space="0" w:color="auto"/>
            <w:left w:val="none" w:sz="0" w:space="0" w:color="auto"/>
            <w:bottom w:val="none" w:sz="0" w:space="0" w:color="auto"/>
            <w:right w:val="none" w:sz="0" w:space="0" w:color="auto"/>
          </w:divBdr>
          <w:divsChild>
            <w:div w:id="2134207345">
              <w:marLeft w:val="0"/>
              <w:marRight w:val="0"/>
              <w:marTop w:val="0"/>
              <w:marBottom w:val="0"/>
              <w:divBdr>
                <w:top w:val="none" w:sz="0" w:space="0" w:color="auto"/>
                <w:left w:val="none" w:sz="0" w:space="0" w:color="auto"/>
                <w:bottom w:val="none" w:sz="0" w:space="0" w:color="auto"/>
                <w:right w:val="none" w:sz="0" w:space="0" w:color="auto"/>
              </w:divBdr>
            </w:div>
          </w:divsChild>
        </w:div>
        <w:div w:id="652947455">
          <w:marLeft w:val="0"/>
          <w:marRight w:val="0"/>
          <w:marTop w:val="0"/>
          <w:marBottom w:val="0"/>
          <w:divBdr>
            <w:top w:val="none" w:sz="0" w:space="0" w:color="auto"/>
            <w:left w:val="none" w:sz="0" w:space="0" w:color="auto"/>
            <w:bottom w:val="none" w:sz="0" w:space="0" w:color="auto"/>
            <w:right w:val="none" w:sz="0" w:space="0" w:color="auto"/>
          </w:divBdr>
          <w:divsChild>
            <w:div w:id="321204749">
              <w:marLeft w:val="0"/>
              <w:marRight w:val="0"/>
              <w:marTop w:val="0"/>
              <w:marBottom w:val="0"/>
              <w:divBdr>
                <w:top w:val="none" w:sz="0" w:space="0" w:color="auto"/>
                <w:left w:val="none" w:sz="0" w:space="0" w:color="auto"/>
                <w:bottom w:val="none" w:sz="0" w:space="0" w:color="auto"/>
                <w:right w:val="none" w:sz="0" w:space="0" w:color="auto"/>
              </w:divBdr>
              <w:divsChild>
                <w:div w:id="648361394">
                  <w:marLeft w:val="0"/>
                  <w:marRight w:val="0"/>
                  <w:marTop w:val="0"/>
                  <w:marBottom w:val="0"/>
                  <w:divBdr>
                    <w:top w:val="none" w:sz="0" w:space="0" w:color="auto"/>
                    <w:left w:val="none" w:sz="0" w:space="0" w:color="auto"/>
                    <w:bottom w:val="none" w:sz="0" w:space="0" w:color="auto"/>
                    <w:right w:val="none" w:sz="0" w:space="0" w:color="auto"/>
                  </w:divBdr>
                  <w:divsChild>
                    <w:div w:id="765730498">
                      <w:marLeft w:val="0"/>
                      <w:marRight w:val="0"/>
                      <w:marTop w:val="0"/>
                      <w:marBottom w:val="0"/>
                      <w:divBdr>
                        <w:top w:val="none" w:sz="0" w:space="0" w:color="auto"/>
                        <w:left w:val="none" w:sz="0" w:space="0" w:color="auto"/>
                        <w:bottom w:val="none" w:sz="0" w:space="0" w:color="auto"/>
                        <w:right w:val="none" w:sz="0" w:space="0" w:color="auto"/>
                      </w:divBdr>
                      <w:divsChild>
                        <w:div w:id="81220762">
                          <w:marLeft w:val="0"/>
                          <w:marRight w:val="0"/>
                          <w:marTop w:val="0"/>
                          <w:marBottom w:val="0"/>
                          <w:divBdr>
                            <w:top w:val="none" w:sz="0" w:space="0" w:color="auto"/>
                            <w:left w:val="none" w:sz="0" w:space="0" w:color="auto"/>
                            <w:bottom w:val="none" w:sz="0" w:space="0" w:color="auto"/>
                            <w:right w:val="none" w:sz="0" w:space="0" w:color="auto"/>
                          </w:divBdr>
                        </w:div>
                      </w:divsChild>
                    </w:div>
                    <w:div w:id="330374631">
                      <w:marLeft w:val="0"/>
                      <w:marRight w:val="0"/>
                      <w:marTop w:val="0"/>
                      <w:marBottom w:val="0"/>
                      <w:divBdr>
                        <w:top w:val="none" w:sz="0" w:space="0" w:color="auto"/>
                        <w:left w:val="none" w:sz="0" w:space="0" w:color="auto"/>
                        <w:bottom w:val="none" w:sz="0" w:space="0" w:color="auto"/>
                        <w:right w:val="none" w:sz="0" w:space="0" w:color="auto"/>
                      </w:divBdr>
                      <w:divsChild>
                        <w:div w:id="109983028">
                          <w:marLeft w:val="0"/>
                          <w:marRight w:val="0"/>
                          <w:marTop w:val="0"/>
                          <w:marBottom w:val="0"/>
                          <w:divBdr>
                            <w:top w:val="none" w:sz="0" w:space="0" w:color="auto"/>
                            <w:left w:val="none" w:sz="0" w:space="0" w:color="auto"/>
                            <w:bottom w:val="none" w:sz="0" w:space="0" w:color="auto"/>
                            <w:right w:val="none" w:sz="0" w:space="0" w:color="auto"/>
                          </w:divBdr>
                        </w:div>
                      </w:divsChild>
                    </w:div>
                    <w:div w:id="247691177">
                      <w:marLeft w:val="0"/>
                      <w:marRight w:val="0"/>
                      <w:marTop w:val="0"/>
                      <w:marBottom w:val="0"/>
                      <w:divBdr>
                        <w:top w:val="none" w:sz="0" w:space="0" w:color="auto"/>
                        <w:left w:val="none" w:sz="0" w:space="0" w:color="auto"/>
                        <w:bottom w:val="none" w:sz="0" w:space="0" w:color="auto"/>
                        <w:right w:val="none" w:sz="0" w:space="0" w:color="auto"/>
                      </w:divBdr>
                      <w:divsChild>
                        <w:div w:id="848178643">
                          <w:marLeft w:val="0"/>
                          <w:marRight w:val="0"/>
                          <w:marTop w:val="0"/>
                          <w:marBottom w:val="0"/>
                          <w:divBdr>
                            <w:top w:val="none" w:sz="0" w:space="0" w:color="auto"/>
                            <w:left w:val="none" w:sz="0" w:space="0" w:color="auto"/>
                            <w:bottom w:val="none" w:sz="0" w:space="0" w:color="auto"/>
                            <w:right w:val="none" w:sz="0" w:space="0" w:color="auto"/>
                          </w:divBdr>
                        </w:div>
                      </w:divsChild>
                    </w:div>
                    <w:div w:id="473525184">
                      <w:marLeft w:val="0"/>
                      <w:marRight w:val="0"/>
                      <w:marTop w:val="0"/>
                      <w:marBottom w:val="0"/>
                      <w:divBdr>
                        <w:top w:val="none" w:sz="0" w:space="0" w:color="auto"/>
                        <w:left w:val="none" w:sz="0" w:space="0" w:color="auto"/>
                        <w:bottom w:val="none" w:sz="0" w:space="0" w:color="auto"/>
                        <w:right w:val="none" w:sz="0" w:space="0" w:color="auto"/>
                      </w:divBdr>
                      <w:divsChild>
                        <w:div w:id="870731442">
                          <w:marLeft w:val="0"/>
                          <w:marRight w:val="0"/>
                          <w:marTop w:val="0"/>
                          <w:marBottom w:val="0"/>
                          <w:divBdr>
                            <w:top w:val="none" w:sz="0" w:space="0" w:color="auto"/>
                            <w:left w:val="none" w:sz="0" w:space="0" w:color="auto"/>
                            <w:bottom w:val="none" w:sz="0" w:space="0" w:color="auto"/>
                            <w:right w:val="none" w:sz="0" w:space="0" w:color="auto"/>
                          </w:divBdr>
                        </w:div>
                      </w:divsChild>
                    </w:div>
                    <w:div w:id="12388677">
                      <w:marLeft w:val="0"/>
                      <w:marRight w:val="0"/>
                      <w:marTop w:val="0"/>
                      <w:marBottom w:val="0"/>
                      <w:divBdr>
                        <w:top w:val="none" w:sz="0" w:space="0" w:color="auto"/>
                        <w:left w:val="none" w:sz="0" w:space="0" w:color="auto"/>
                        <w:bottom w:val="none" w:sz="0" w:space="0" w:color="auto"/>
                        <w:right w:val="none" w:sz="0" w:space="0" w:color="auto"/>
                      </w:divBdr>
                      <w:divsChild>
                        <w:div w:id="1326932739">
                          <w:marLeft w:val="0"/>
                          <w:marRight w:val="0"/>
                          <w:marTop w:val="0"/>
                          <w:marBottom w:val="0"/>
                          <w:divBdr>
                            <w:top w:val="none" w:sz="0" w:space="0" w:color="auto"/>
                            <w:left w:val="none" w:sz="0" w:space="0" w:color="auto"/>
                            <w:bottom w:val="none" w:sz="0" w:space="0" w:color="auto"/>
                            <w:right w:val="none" w:sz="0" w:space="0" w:color="auto"/>
                          </w:divBdr>
                        </w:div>
                      </w:divsChild>
                    </w:div>
                    <w:div w:id="1772358571">
                      <w:marLeft w:val="0"/>
                      <w:marRight w:val="0"/>
                      <w:marTop w:val="0"/>
                      <w:marBottom w:val="0"/>
                      <w:divBdr>
                        <w:top w:val="none" w:sz="0" w:space="0" w:color="auto"/>
                        <w:left w:val="none" w:sz="0" w:space="0" w:color="auto"/>
                        <w:bottom w:val="none" w:sz="0" w:space="0" w:color="auto"/>
                        <w:right w:val="none" w:sz="0" w:space="0" w:color="auto"/>
                      </w:divBdr>
                      <w:divsChild>
                        <w:div w:id="7282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STOYANOV</cp:lastModifiedBy>
  <cp:revision>4</cp:revision>
  <dcterms:created xsi:type="dcterms:W3CDTF">2023-05-15T08:34:00Z</dcterms:created>
  <dcterms:modified xsi:type="dcterms:W3CDTF">2023-05-15T11:16:00Z</dcterms:modified>
</cp:coreProperties>
</file>